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675"/>
        <w:gridCol w:w="137"/>
        <w:gridCol w:w="8764"/>
      </w:tblGrid>
      <w:tr w:rsidR="0079252F" w:rsidTr="0079252F">
        <w:tc>
          <w:tcPr>
            <w:tcW w:w="9576" w:type="dxa"/>
            <w:gridSpan w:val="3"/>
            <w:tcBorders>
              <w:top w:val="single" w:sz="4" w:space="0" w:color="auto"/>
              <w:left w:val="single" w:sz="4" w:space="0" w:color="auto"/>
              <w:bottom w:val="single" w:sz="4" w:space="0" w:color="auto"/>
              <w:right w:val="single" w:sz="4" w:space="0" w:color="auto"/>
            </w:tcBorders>
            <w:hideMark/>
          </w:tcPr>
          <w:p w:rsidR="0053201C" w:rsidRDefault="0053201C" w:rsidP="0053201C">
            <w:pPr>
              <w:jc w:val="center"/>
              <w:rPr>
                <w:sz w:val="16"/>
                <w:szCs w:val="16"/>
              </w:rPr>
            </w:pPr>
            <w:r w:rsidRPr="00E63C5D">
              <w:rPr>
                <w:noProof/>
                <w:sz w:val="16"/>
                <w:szCs w:val="16"/>
              </w:rPr>
              <w:drawing>
                <wp:inline distT="0" distB="0" distL="0" distR="0">
                  <wp:extent cx="597408" cy="597408"/>
                  <wp:effectExtent l="19050" t="0" r="0" b="0"/>
                  <wp:docPr id="2" name="Picture 1" descr="cid:213135513@30092011-2F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13135513@30092011-2FE7"/>
                          <pic:cNvPicPr>
                            <a:picLocks noChangeAspect="1" noChangeArrowheads="1"/>
                          </pic:cNvPicPr>
                        </pic:nvPicPr>
                        <pic:blipFill>
                          <a:blip r:embed="rId8" cstate="print"/>
                          <a:srcRect/>
                          <a:stretch>
                            <a:fillRect/>
                          </a:stretch>
                        </pic:blipFill>
                        <pic:spPr bwMode="auto">
                          <a:xfrm>
                            <a:off x="0" y="0"/>
                            <a:ext cx="597408" cy="597408"/>
                          </a:xfrm>
                          <a:prstGeom prst="rect">
                            <a:avLst/>
                          </a:prstGeom>
                          <a:noFill/>
                          <a:ln w="9525">
                            <a:noFill/>
                            <a:miter lim="800000"/>
                            <a:headEnd/>
                            <a:tailEnd/>
                          </a:ln>
                        </pic:spPr>
                      </pic:pic>
                    </a:graphicData>
                  </a:graphic>
                </wp:inline>
              </w:drawing>
            </w:r>
          </w:p>
          <w:p w:rsidR="00D84211" w:rsidRDefault="00D84211" w:rsidP="0053201C">
            <w:pPr>
              <w:jc w:val="center"/>
              <w:rPr>
                <w:sz w:val="16"/>
                <w:szCs w:val="16"/>
              </w:rPr>
            </w:pPr>
          </w:p>
          <w:p w:rsidR="0053201C" w:rsidRPr="00E63C5D" w:rsidRDefault="0053201C" w:rsidP="0053201C">
            <w:pPr>
              <w:jc w:val="center"/>
              <w:rPr>
                <w:b/>
                <w:sz w:val="16"/>
                <w:szCs w:val="16"/>
              </w:rPr>
            </w:pPr>
            <w:r w:rsidRPr="00E63C5D">
              <w:rPr>
                <w:b/>
                <w:sz w:val="16"/>
                <w:szCs w:val="16"/>
              </w:rPr>
              <w:t>MBM COMMERCIAL LLP</w:t>
            </w:r>
          </w:p>
          <w:p w:rsidR="0053201C" w:rsidRDefault="0053201C" w:rsidP="0053201C">
            <w:pPr>
              <w:jc w:val="center"/>
              <w:rPr>
                <w:rFonts w:cstheme="minorHAnsi"/>
                <w:i/>
              </w:rPr>
            </w:pPr>
            <w:r>
              <w:rPr>
                <w:rFonts w:cstheme="minorHAnsi"/>
                <w:i/>
              </w:rPr>
              <w:t>Specialist legal advisers to investors, high growth companies and entrepreneurs.</w:t>
            </w:r>
          </w:p>
          <w:p w:rsidR="00E63C5D" w:rsidRDefault="00E63C5D">
            <w:pPr>
              <w:jc w:val="center"/>
              <w:rPr>
                <w:sz w:val="16"/>
                <w:szCs w:val="16"/>
              </w:rPr>
            </w:pPr>
          </w:p>
          <w:p w:rsidR="00E63C5D" w:rsidRDefault="00E63C5D" w:rsidP="00E63C5D">
            <w:pPr>
              <w:jc w:val="center"/>
              <w:rPr>
                <w:b/>
              </w:rPr>
            </w:pPr>
            <w:r>
              <w:rPr>
                <w:sz w:val="16"/>
                <w:szCs w:val="16"/>
              </w:rPr>
              <w:t>WARNING:  Signing this document will make you legally bound by its terms. You should take independent legal advice before signing.</w:t>
            </w:r>
          </w:p>
        </w:tc>
      </w:tr>
      <w:tr w:rsidR="0079252F" w:rsidTr="0079252F">
        <w:tc>
          <w:tcPr>
            <w:tcW w:w="9576" w:type="dxa"/>
            <w:gridSpan w:val="3"/>
            <w:tcBorders>
              <w:top w:val="single" w:sz="4" w:space="0" w:color="auto"/>
              <w:left w:val="single" w:sz="4" w:space="0" w:color="auto"/>
              <w:bottom w:val="single" w:sz="4" w:space="0" w:color="auto"/>
              <w:right w:val="single" w:sz="4" w:space="0" w:color="auto"/>
            </w:tcBorders>
            <w:hideMark/>
          </w:tcPr>
          <w:p w:rsidR="0079252F" w:rsidRPr="00E63C5D" w:rsidRDefault="0079252F">
            <w:pPr>
              <w:jc w:val="center"/>
              <w:rPr>
                <w:b/>
                <w:sz w:val="28"/>
                <w:szCs w:val="28"/>
              </w:rPr>
            </w:pPr>
            <w:r w:rsidRPr="00E63C5D">
              <w:rPr>
                <w:b/>
                <w:sz w:val="28"/>
                <w:szCs w:val="28"/>
              </w:rPr>
              <w:t>SEED INVESTMENT AGREEMENT</w:t>
            </w:r>
          </w:p>
        </w:tc>
      </w:tr>
      <w:tr w:rsidR="0079252F" w:rsidTr="0079252F">
        <w:tc>
          <w:tcPr>
            <w:tcW w:w="9576" w:type="dxa"/>
            <w:gridSpan w:val="3"/>
            <w:tcBorders>
              <w:top w:val="single" w:sz="4" w:space="0" w:color="auto"/>
              <w:left w:val="single" w:sz="4" w:space="0" w:color="auto"/>
              <w:bottom w:val="single" w:sz="4" w:space="0" w:color="auto"/>
              <w:right w:val="single" w:sz="4" w:space="0" w:color="auto"/>
            </w:tcBorders>
            <w:hideMark/>
          </w:tcPr>
          <w:p w:rsidR="0079252F" w:rsidRDefault="0079252F">
            <w:pPr>
              <w:jc w:val="center"/>
            </w:pPr>
            <w:r>
              <w:t>amongst</w:t>
            </w:r>
          </w:p>
        </w:tc>
      </w:tr>
      <w:tr w:rsidR="0079252F" w:rsidTr="0079252F">
        <w:tc>
          <w:tcPr>
            <w:tcW w:w="812" w:type="dxa"/>
            <w:gridSpan w:val="2"/>
            <w:tcBorders>
              <w:top w:val="single" w:sz="4" w:space="0" w:color="auto"/>
              <w:left w:val="single" w:sz="4" w:space="0" w:color="auto"/>
              <w:bottom w:val="single" w:sz="4" w:space="0" w:color="auto"/>
              <w:right w:val="single" w:sz="4" w:space="0" w:color="auto"/>
            </w:tcBorders>
            <w:hideMark/>
          </w:tcPr>
          <w:p w:rsidR="0079252F" w:rsidRDefault="0079252F">
            <w:r>
              <w:t>1.</w:t>
            </w:r>
          </w:p>
        </w:tc>
        <w:tc>
          <w:tcPr>
            <w:tcW w:w="8764" w:type="dxa"/>
            <w:tcBorders>
              <w:top w:val="single" w:sz="4" w:space="0" w:color="auto"/>
              <w:left w:val="single" w:sz="4" w:space="0" w:color="auto"/>
              <w:bottom w:val="single" w:sz="4" w:space="0" w:color="auto"/>
              <w:right w:val="single" w:sz="4" w:space="0" w:color="auto"/>
            </w:tcBorders>
            <w:hideMark/>
          </w:tcPr>
          <w:p w:rsidR="0079252F" w:rsidRDefault="0079252F">
            <w:pPr>
              <w:pStyle w:val="Heading6"/>
              <w:keepLines w:val="0"/>
              <w:spacing w:before="120" w:after="120"/>
              <w:jc w:val="both"/>
              <w:outlineLvl w:val="5"/>
              <w:rPr>
                <w:rFonts w:asciiTheme="minorHAnsi" w:eastAsiaTheme="minorHAnsi" w:hAnsiTheme="minorHAnsi" w:cstheme="minorBidi"/>
                <w:i w:val="0"/>
                <w:iCs w:val="0"/>
                <w:color w:val="auto"/>
              </w:rPr>
            </w:pPr>
            <w:r>
              <w:rPr>
                <w:rFonts w:asciiTheme="minorHAnsi" w:eastAsiaTheme="minorHAnsi" w:hAnsiTheme="minorHAnsi" w:cstheme="minorBidi"/>
                <w:i w:val="0"/>
                <w:iCs w:val="0"/>
                <w:color w:val="auto"/>
              </w:rPr>
              <w:t>[&lt;&gt;] LIMITED, a company incorporated under the Companies Acts in [Scotland/England &amp; Wales] with registered number [&lt;&gt;] and having its registered office at [&lt;&gt;] (the “</w:t>
            </w:r>
            <w:r>
              <w:rPr>
                <w:rFonts w:asciiTheme="minorHAnsi" w:eastAsiaTheme="minorHAnsi" w:hAnsiTheme="minorHAnsi" w:cstheme="minorBidi"/>
                <w:b/>
                <w:i w:val="0"/>
                <w:iCs w:val="0"/>
                <w:color w:val="auto"/>
              </w:rPr>
              <w:t>Company</w:t>
            </w:r>
            <w:r>
              <w:rPr>
                <w:rFonts w:asciiTheme="minorHAnsi" w:eastAsiaTheme="minorHAnsi" w:hAnsiTheme="minorHAnsi" w:cstheme="minorBidi"/>
                <w:i w:val="0"/>
                <w:iCs w:val="0"/>
                <w:color w:val="auto"/>
              </w:rPr>
              <w:t>”);</w:t>
            </w:r>
          </w:p>
        </w:tc>
      </w:tr>
      <w:tr w:rsidR="0079252F" w:rsidTr="0079252F">
        <w:tc>
          <w:tcPr>
            <w:tcW w:w="812" w:type="dxa"/>
            <w:gridSpan w:val="2"/>
            <w:tcBorders>
              <w:top w:val="single" w:sz="4" w:space="0" w:color="auto"/>
              <w:left w:val="single" w:sz="4" w:space="0" w:color="auto"/>
              <w:bottom w:val="single" w:sz="4" w:space="0" w:color="auto"/>
              <w:right w:val="single" w:sz="4" w:space="0" w:color="auto"/>
            </w:tcBorders>
            <w:hideMark/>
          </w:tcPr>
          <w:p w:rsidR="0079252F" w:rsidRDefault="0079252F">
            <w:r>
              <w:t>2.</w:t>
            </w:r>
          </w:p>
        </w:tc>
        <w:tc>
          <w:tcPr>
            <w:tcW w:w="8764" w:type="dxa"/>
            <w:tcBorders>
              <w:top w:val="single" w:sz="4" w:space="0" w:color="auto"/>
              <w:left w:val="single" w:sz="4" w:space="0" w:color="auto"/>
              <w:bottom w:val="single" w:sz="4" w:space="0" w:color="auto"/>
              <w:right w:val="single" w:sz="4" w:space="0" w:color="auto"/>
            </w:tcBorders>
            <w:hideMark/>
          </w:tcPr>
          <w:p w:rsidR="0079252F" w:rsidRDefault="0079252F">
            <w:pPr>
              <w:pStyle w:val="Heading6"/>
              <w:keepLines w:val="0"/>
              <w:spacing w:before="120" w:after="120"/>
              <w:jc w:val="both"/>
              <w:outlineLvl w:val="5"/>
            </w:pPr>
            <w:r>
              <w:rPr>
                <w:rFonts w:asciiTheme="minorHAnsi" w:eastAsiaTheme="minorHAnsi" w:hAnsiTheme="minorHAnsi" w:cstheme="minorBidi"/>
                <w:i w:val="0"/>
                <w:iCs w:val="0"/>
                <w:color w:val="auto"/>
              </w:rPr>
              <w:t>[&lt;&gt;], residing at [&lt;&gt;] (“</w:t>
            </w:r>
            <w:r>
              <w:rPr>
                <w:rFonts w:asciiTheme="minorHAnsi" w:eastAsiaTheme="minorHAnsi" w:hAnsiTheme="minorHAnsi" w:cstheme="minorBidi"/>
                <w:b/>
                <w:i w:val="0"/>
                <w:iCs w:val="0"/>
                <w:color w:val="auto"/>
              </w:rPr>
              <w:t>Mr [&lt;&gt;]</w:t>
            </w:r>
            <w:r>
              <w:rPr>
                <w:rFonts w:asciiTheme="minorHAnsi" w:eastAsiaTheme="minorHAnsi" w:hAnsiTheme="minorHAnsi" w:cstheme="minorBidi"/>
                <w:i w:val="0"/>
                <w:iCs w:val="0"/>
                <w:color w:val="auto"/>
              </w:rPr>
              <w:t>”) and [&lt;&gt;], residing at [&lt;&gt;](“</w:t>
            </w:r>
            <w:r>
              <w:rPr>
                <w:rFonts w:asciiTheme="minorHAnsi" w:eastAsiaTheme="minorHAnsi" w:hAnsiTheme="minorHAnsi" w:cstheme="minorBidi"/>
                <w:b/>
                <w:i w:val="0"/>
                <w:iCs w:val="0"/>
                <w:color w:val="auto"/>
              </w:rPr>
              <w:t>Mr [&lt;&gt;]</w:t>
            </w:r>
            <w:r>
              <w:rPr>
                <w:rFonts w:asciiTheme="minorHAnsi" w:eastAsiaTheme="minorHAnsi" w:hAnsiTheme="minorHAnsi" w:cstheme="minorBidi"/>
                <w:i w:val="0"/>
                <w:iCs w:val="0"/>
                <w:color w:val="auto"/>
              </w:rPr>
              <w:t>”) (together the “</w:t>
            </w:r>
            <w:r>
              <w:rPr>
                <w:rFonts w:asciiTheme="minorHAnsi" w:eastAsiaTheme="minorHAnsi" w:hAnsiTheme="minorHAnsi" w:cstheme="minorBidi"/>
                <w:b/>
                <w:i w:val="0"/>
                <w:iCs w:val="0"/>
                <w:color w:val="auto"/>
              </w:rPr>
              <w:t>Executives</w:t>
            </w:r>
            <w:r>
              <w:rPr>
                <w:rFonts w:asciiTheme="minorHAnsi" w:eastAsiaTheme="minorHAnsi" w:hAnsiTheme="minorHAnsi" w:cstheme="minorBidi"/>
                <w:i w:val="0"/>
                <w:iCs w:val="0"/>
                <w:color w:val="auto"/>
              </w:rPr>
              <w:t>” and each an “</w:t>
            </w:r>
            <w:r>
              <w:rPr>
                <w:rFonts w:asciiTheme="minorHAnsi" w:eastAsiaTheme="minorHAnsi" w:hAnsiTheme="minorHAnsi" w:cstheme="minorBidi"/>
                <w:b/>
                <w:i w:val="0"/>
                <w:iCs w:val="0"/>
                <w:color w:val="auto"/>
              </w:rPr>
              <w:t>Executive</w:t>
            </w:r>
            <w:r>
              <w:rPr>
                <w:rFonts w:asciiTheme="minorHAnsi" w:eastAsiaTheme="minorHAnsi" w:hAnsiTheme="minorHAnsi" w:cstheme="minorBidi"/>
                <w:i w:val="0"/>
                <w:iCs w:val="0"/>
                <w:color w:val="auto"/>
              </w:rPr>
              <w:t>”);</w:t>
            </w:r>
          </w:p>
        </w:tc>
      </w:tr>
      <w:tr w:rsidR="0079252F" w:rsidTr="0079252F">
        <w:tc>
          <w:tcPr>
            <w:tcW w:w="812" w:type="dxa"/>
            <w:gridSpan w:val="2"/>
            <w:tcBorders>
              <w:top w:val="single" w:sz="4" w:space="0" w:color="auto"/>
              <w:left w:val="single" w:sz="4" w:space="0" w:color="auto"/>
              <w:bottom w:val="single" w:sz="4" w:space="0" w:color="auto"/>
              <w:right w:val="single" w:sz="4" w:space="0" w:color="auto"/>
            </w:tcBorders>
            <w:hideMark/>
          </w:tcPr>
          <w:p w:rsidR="0079252F" w:rsidRDefault="0079252F">
            <w:r>
              <w:t>3.</w:t>
            </w:r>
          </w:p>
        </w:tc>
        <w:tc>
          <w:tcPr>
            <w:tcW w:w="8764" w:type="dxa"/>
            <w:tcBorders>
              <w:top w:val="single" w:sz="4" w:space="0" w:color="auto"/>
              <w:left w:val="single" w:sz="4" w:space="0" w:color="auto"/>
              <w:bottom w:val="single" w:sz="4" w:space="0" w:color="auto"/>
              <w:right w:val="single" w:sz="4" w:space="0" w:color="auto"/>
            </w:tcBorders>
            <w:hideMark/>
          </w:tcPr>
          <w:p w:rsidR="0079252F" w:rsidRDefault="0079252F">
            <w:pPr>
              <w:pStyle w:val="Heading6"/>
              <w:keepLines w:val="0"/>
              <w:spacing w:before="120" w:after="120"/>
              <w:jc w:val="both"/>
              <w:outlineLvl w:val="5"/>
            </w:pPr>
            <w:r>
              <w:rPr>
                <w:rFonts w:asciiTheme="minorHAnsi" w:eastAsiaTheme="minorHAnsi" w:hAnsiTheme="minorHAnsi" w:cstheme="minorBidi"/>
                <w:i w:val="0"/>
                <w:iCs w:val="0"/>
                <w:color w:val="auto"/>
              </w:rPr>
              <w:t>THOSE PERSONS whose details are listed in Section B of Part 2 of the schedule of this Agreeme</w:t>
            </w:r>
            <w:bookmarkStart w:id="0" w:name="_GoBack"/>
            <w:bookmarkEnd w:id="0"/>
            <w:r>
              <w:rPr>
                <w:rFonts w:asciiTheme="minorHAnsi" w:eastAsiaTheme="minorHAnsi" w:hAnsiTheme="minorHAnsi" w:cstheme="minorBidi"/>
                <w:i w:val="0"/>
                <w:iCs w:val="0"/>
                <w:color w:val="auto"/>
              </w:rPr>
              <w:t>nt (together the “</w:t>
            </w:r>
            <w:r>
              <w:rPr>
                <w:rFonts w:asciiTheme="minorHAnsi" w:eastAsiaTheme="minorHAnsi" w:hAnsiTheme="minorHAnsi" w:cstheme="minorBidi"/>
                <w:b/>
                <w:i w:val="0"/>
                <w:iCs w:val="0"/>
                <w:color w:val="auto"/>
              </w:rPr>
              <w:t>Investors</w:t>
            </w:r>
            <w:r>
              <w:rPr>
                <w:rFonts w:asciiTheme="minorHAnsi" w:eastAsiaTheme="minorHAnsi" w:hAnsiTheme="minorHAnsi" w:cstheme="minorBidi"/>
                <w:i w:val="0"/>
                <w:iCs w:val="0"/>
                <w:color w:val="auto"/>
              </w:rPr>
              <w:t>” and each an “</w:t>
            </w:r>
            <w:r>
              <w:rPr>
                <w:rFonts w:asciiTheme="minorHAnsi" w:eastAsiaTheme="minorHAnsi" w:hAnsiTheme="minorHAnsi" w:cstheme="minorBidi"/>
                <w:b/>
                <w:i w:val="0"/>
                <w:iCs w:val="0"/>
                <w:color w:val="auto"/>
              </w:rPr>
              <w:t>Investor</w:t>
            </w:r>
            <w:r>
              <w:rPr>
                <w:rFonts w:asciiTheme="minorHAnsi" w:eastAsiaTheme="minorHAnsi" w:hAnsiTheme="minorHAnsi" w:cstheme="minorBidi"/>
                <w:i w:val="0"/>
                <w:iCs w:val="0"/>
                <w:color w:val="auto"/>
              </w:rPr>
              <w:t>”); and</w:t>
            </w:r>
          </w:p>
        </w:tc>
      </w:tr>
      <w:tr w:rsidR="0079252F" w:rsidTr="0079252F">
        <w:tc>
          <w:tcPr>
            <w:tcW w:w="812" w:type="dxa"/>
            <w:gridSpan w:val="2"/>
            <w:tcBorders>
              <w:top w:val="single" w:sz="4" w:space="0" w:color="auto"/>
              <w:left w:val="single" w:sz="4" w:space="0" w:color="auto"/>
              <w:bottom w:val="single" w:sz="4" w:space="0" w:color="auto"/>
              <w:right w:val="single" w:sz="4" w:space="0" w:color="auto"/>
            </w:tcBorders>
            <w:hideMark/>
          </w:tcPr>
          <w:p w:rsidR="0079252F" w:rsidRDefault="0079252F">
            <w:r>
              <w:t>4.</w:t>
            </w:r>
          </w:p>
        </w:tc>
        <w:tc>
          <w:tcPr>
            <w:tcW w:w="8764" w:type="dxa"/>
            <w:tcBorders>
              <w:top w:val="single" w:sz="4" w:space="0" w:color="auto"/>
              <w:left w:val="single" w:sz="4" w:space="0" w:color="auto"/>
              <w:bottom w:val="single" w:sz="4" w:space="0" w:color="auto"/>
              <w:right w:val="single" w:sz="4" w:space="0" w:color="auto"/>
            </w:tcBorders>
            <w:hideMark/>
          </w:tcPr>
          <w:p w:rsidR="0079252F" w:rsidRDefault="0079252F">
            <w:pPr>
              <w:rPr>
                <w:i/>
              </w:rPr>
            </w:pPr>
            <w:r>
              <w:rPr>
                <w:i/>
              </w:rPr>
              <w:t>[TBC – include any other shareholders or warrantors]</w:t>
            </w:r>
          </w:p>
        </w:tc>
      </w:tr>
      <w:tr w:rsidR="0079252F" w:rsidTr="0079252F">
        <w:tc>
          <w:tcPr>
            <w:tcW w:w="812" w:type="dxa"/>
            <w:gridSpan w:val="2"/>
            <w:tcBorders>
              <w:top w:val="single" w:sz="4" w:space="0" w:color="auto"/>
              <w:left w:val="single" w:sz="4" w:space="0" w:color="auto"/>
              <w:bottom w:val="single" w:sz="4" w:space="0" w:color="auto"/>
              <w:right w:val="single" w:sz="4" w:space="0" w:color="auto"/>
            </w:tcBorders>
            <w:hideMark/>
          </w:tcPr>
          <w:p w:rsidR="0079252F" w:rsidRDefault="0079252F">
            <w:r>
              <w:t>5.</w:t>
            </w:r>
          </w:p>
        </w:tc>
        <w:tc>
          <w:tcPr>
            <w:tcW w:w="8764" w:type="dxa"/>
            <w:tcBorders>
              <w:top w:val="single" w:sz="4" w:space="0" w:color="auto"/>
              <w:left w:val="single" w:sz="4" w:space="0" w:color="auto"/>
              <w:bottom w:val="single" w:sz="4" w:space="0" w:color="auto"/>
              <w:right w:val="single" w:sz="4" w:space="0" w:color="auto"/>
            </w:tcBorders>
            <w:hideMark/>
          </w:tcPr>
          <w:p w:rsidR="0079252F" w:rsidRDefault="0079252F">
            <w:r>
              <w:rPr>
                <w:i/>
              </w:rPr>
              <w:t>[TBC – include any other shareholders or warrantors]</w:t>
            </w:r>
          </w:p>
        </w:tc>
      </w:tr>
      <w:tr w:rsidR="0079252F" w:rsidTr="0079252F">
        <w:tc>
          <w:tcPr>
            <w:tcW w:w="812" w:type="dxa"/>
            <w:gridSpan w:val="2"/>
            <w:tcBorders>
              <w:top w:val="single" w:sz="4" w:space="0" w:color="auto"/>
              <w:left w:val="single" w:sz="4" w:space="0" w:color="auto"/>
              <w:bottom w:val="single" w:sz="4" w:space="0" w:color="auto"/>
              <w:right w:val="single" w:sz="4" w:space="0" w:color="auto"/>
            </w:tcBorders>
            <w:hideMark/>
          </w:tcPr>
          <w:p w:rsidR="0079252F" w:rsidRDefault="0079252F">
            <w:r>
              <w:t>6.</w:t>
            </w:r>
          </w:p>
        </w:tc>
        <w:tc>
          <w:tcPr>
            <w:tcW w:w="8764" w:type="dxa"/>
            <w:tcBorders>
              <w:top w:val="single" w:sz="4" w:space="0" w:color="auto"/>
              <w:left w:val="single" w:sz="4" w:space="0" w:color="auto"/>
              <w:bottom w:val="single" w:sz="4" w:space="0" w:color="auto"/>
              <w:right w:val="single" w:sz="4" w:space="0" w:color="auto"/>
            </w:tcBorders>
            <w:hideMark/>
          </w:tcPr>
          <w:p w:rsidR="0079252F" w:rsidRDefault="0079252F">
            <w:r>
              <w:rPr>
                <w:i/>
              </w:rPr>
              <w:t>[TBC – include any other shareholders or warrantors]</w:t>
            </w:r>
          </w:p>
        </w:tc>
      </w:tr>
      <w:tr w:rsidR="0079252F" w:rsidTr="0079252F">
        <w:tc>
          <w:tcPr>
            <w:tcW w:w="812" w:type="dxa"/>
            <w:gridSpan w:val="2"/>
            <w:tcBorders>
              <w:top w:val="single" w:sz="4" w:space="0" w:color="auto"/>
              <w:left w:val="single" w:sz="4" w:space="0" w:color="auto"/>
              <w:bottom w:val="single" w:sz="4" w:space="0" w:color="auto"/>
              <w:right w:val="single" w:sz="4" w:space="0" w:color="auto"/>
            </w:tcBorders>
          </w:tcPr>
          <w:p w:rsidR="0079252F" w:rsidRDefault="0079252F"/>
        </w:tc>
        <w:tc>
          <w:tcPr>
            <w:tcW w:w="8764" w:type="dxa"/>
            <w:tcBorders>
              <w:top w:val="single" w:sz="4" w:space="0" w:color="auto"/>
              <w:left w:val="single" w:sz="4" w:space="0" w:color="auto"/>
              <w:bottom w:val="single" w:sz="4" w:space="0" w:color="auto"/>
              <w:right w:val="single" w:sz="4" w:space="0" w:color="auto"/>
            </w:tcBorders>
          </w:tcPr>
          <w:p w:rsidR="0079252F" w:rsidRDefault="0079252F"/>
        </w:tc>
      </w:tr>
      <w:tr w:rsidR="0079252F" w:rsidTr="0079252F">
        <w:tc>
          <w:tcPr>
            <w:tcW w:w="9576" w:type="dxa"/>
            <w:gridSpan w:val="3"/>
            <w:tcBorders>
              <w:top w:val="single" w:sz="4" w:space="0" w:color="auto"/>
              <w:left w:val="single" w:sz="4" w:space="0" w:color="auto"/>
              <w:bottom w:val="single" w:sz="4" w:space="0" w:color="auto"/>
              <w:right w:val="single" w:sz="4" w:space="0" w:color="auto"/>
            </w:tcBorders>
            <w:hideMark/>
          </w:tcPr>
          <w:p w:rsidR="0079252F" w:rsidRDefault="0079252F">
            <w:pPr>
              <w:jc w:val="center"/>
              <w:rPr>
                <w:b/>
              </w:rPr>
            </w:pPr>
            <w:r>
              <w:rPr>
                <w:b/>
              </w:rPr>
              <w:t>THE PARTIES HEREBY AGREE AS FOLLOWS:</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rPr>
                <w:b/>
                <w:sz w:val="16"/>
                <w:szCs w:val="16"/>
              </w:rPr>
            </w:pPr>
            <w:r>
              <w:rPr>
                <w:b/>
                <w:sz w:val="16"/>
                <w:szCs w:val="16"/>
              </w:rPr>
              <w:t>Clause</w:t>
            </w: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1.</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Interpretation:</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The definitions and interpretation set out in Part 1 of the schedule of this Agreement (“</w:t>
            </w:r>
            <w:r>
              <w:rPr>
                <w:b/>
              </w:rPr>
              <w:t>Schedule</w:t>
            </w:r>
            <w:r>
              <w:t>”) shall apply.</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2.</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Incorporation of the MBM Standard Seed Investment Terms to this Agreement:</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The “MBM Standard Seed Investment Terms” w</w:t>
            </w:r>
            <w:r w:rsidR="007221CF">
              <w:t>ith version reference number [</w:t>
            </w:r>
            <w:r w:rsidR="007221CF" w:rsidRPr="007221CF">
              <w:rPr>
                <w:highlight w:val="yellow"/>
              </w:rPr>
              <w:t>1.1</w:t>
            </w:r>
            <w:r w:rsidR="007221CF">
              <w:t>]</w:t>
            </w:r>
            <w:r>
              <w:t xml:space="preserve"> as published by MBM Commercial LLP on </w:t>
            </w:r>
            <w:r>
              <w:rPr>
                <w:highlight w:val="yellow"/>
              </w:rPr>
              <w:t>[date]</w:t>
            </w:r>
            <w:r w:rsidR="007221CF">
              <w:t xml:space="preserve"> 2014</w:t>
            </w:r>
            <w:r>
              <w:t xml:space="preserve"> and available to view at </w:t>
            </w:r>
            <w:hyperlink r:id="rId9" w:history="1">
              <w:r>
                <w:rPr>
                  <w:rStyle w:val="Hyperlink"/>
                </w:rPr>
                <w:t>www.mbmcommercial.co.uk/standard</w:t>
              </w:r>
            </w:hyperlink>
            <w:r>
              <w:rPr>
                <w:rStyle w:val="Hyperlink"/>
              </w:rPr>
              <w:t xml:space="preserve"> terms of investment</w:t>
            </w:r>
            <w:r>
              <w:t xml:space="preserve">  and a copy of which for ease of reference is set out in Part 5 of the Schedule (the “</w:t>
            </w:r>
            <w:r>
              <w:rPr>
                <w:b/>
              </w:rPr>
              <w:t>MBM Terms</w:t>
            </w:r>
            <w:r>
              <w:t xml:space="preserve">”) are hereby incorporated into this Agreement as if they were terms of this Agreement.  If there is any conflict between the MBM Terms and the terms of this Agreement, then the terms of this Agreement shall prevail. </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3.</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Subscription of Investment at Completion:</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3.1</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 xml:space="preserve">The issued share capital of the Company immediately before Completion is as set out in Section A of Part 2 of the Schedule.  </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3.2</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rsidP="005F0900">
            <w:pPr>
              <w:jc w:val="both"/>
            </w:pPr>
            <w:r>
              <w:t xml:space="preserve">The requisite number of shareholders of the Company must </w:t>
            </w:r>
            <w:r w:rsidR="001C1C20" w:rsidRPr="001C1C20">
              <w:t xml:space="preserve">pass </w:t>
            </w:r>
            <w:r w:rsidR="005F0900">
              <w:t xml:space="preserve">the </w:t>
            </w:r>
            <w:r w:rsidR="001C1C20" w:rsidRPr="001C1C20">
              <w:t>Written Resolutions</w:t>
            </w:r>
            <w:r>
              <w:t xml:space="preserve">. </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3.3</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The Investors shall on Completion, subject to matters referred to in Clauses 3.1 and 3.2 being satisfied, make the Investment by subscribing in cash for Ordinary Shares at the price and for the number of Ordinary Shares set out in Section B of Part 2 of the Schedule.</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3.4</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 xml:space="preserve">The issued share capital of the Company immediately after Completion shall be as set out in Section C of Part 2 of the Schedule.  </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3.5</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 xml:space="preserve">The Company and Executives shall deal with the standard Completion matters referred to in </w:t>
            </w:r>
            <w:r>
              <w:lastRenderedPageBreak/>
              <w:t xml:space="preserve">Condition 2 of the MBM Terms. </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lastRenderedPageBreak/>
              <w:t>3.6</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Each of the parties waives any rights conferred or to be conferred on him or it under the current articles of association of the Company, the New Articles, the Companies Act 2006 or otherwise in connection with the allotment of any Ordinary Shares to the Investors in accordance with the terms of this Agreement.</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4.</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rPr>
                <w:b/>
              </w:rPr>
              <w:t>Permitted use of Investment funds:</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Condition 3 of the MBM Terms shall apply.  Furthermore the subscription monies of the Investors shall not be used for the payment by the Company of any professional fees incurred in connection with the negotiation and completion of the Investment other than the sum of up to £[</w:t>
            </w:r>
            <w:r>
              <w:rPr>
                <w:highlight w:val="yellow"/>
              </w:rPr>
              <w:t>TBC</w:t>
            </w:r>
            <w:r>
              <w:t xml:space="preserve">] plus VAT and outlays payable to the Company’s solicitors. </w:t>
            </w:r>
            <w:r>
              <w:rPr>
                <w:i/>
              </w:rPr>
              <w:t>[Insert here any further restriction on what the subscription funds may be used for.]</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5.</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Warranties granted to Investors at Completion:</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5.1</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rsidP="000F3029">
            <w:pPr>
              <w:jc w:val="both"/>
            </w:pPr>
            <w:r>
              <w:t>Subject to Condition 5 of the MBM Terms [</w:t>
            </w:r>
            <w:r>
              <w:rPr>
                <w:highlight w:val="yellow"/>
              </w:rPr>
              <w:t>and Clause 5.2</w:t>
            </w:r>
            <w:r>
              <w:t>], each of the Warrantors grant the Warranties to the Investors as at Completion except to the extent that such matters are Disclosed in a Disclosure Letter.</w:t>
            </w:r>
            <w:r>
              <w:rPr>
                <w:i/>
              </w:rPr>
              <w:t xml:space="preserve"> </w:t>
            </w:r>
            <w:r w:rsidR="000F3029">
              <w:rPr>
                <w:i/>
              </w:rPr>
              <w:t xml:space="preserve"> Each Warranty shall be granted on a joint and several basis unless it is expressly stipulated in the MBM Terms as being granted on a several basis.  </w:t>
            </w:r>
            <w:r>
              <w:rPr>
                <w:i/>
              </w:rPr>
              <w:t>[If some additional warranties are needed then include at 5.3 and edit this clause to include them]</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5.2</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[Subject to Condition 5 of the MBM Terms, the individual liability of the following individual Warrantors in relation to any claims under the Warranties shall not exceed the following amounts: (i) [</w:t>
            </w:r>
            <w:r>
              <w:rPr>
                <w:highlight w:val="yellow"/>
              </w:rPr>
              <w:t>name of individual Warrantor no. 1</w:t>
            </w:r>
            <w:r>
              <w:t xml:space="preserve">]: £[ </w:t>
            </w:r>
            <w:r>
              <w:rPr>
                <w:highlight w:val="yellow"/>
              </w:rPr>
              <w:t>TBC</w:t>
            </w:r>
            <w:r>
              <w:t>], (ii) [</w:t>
            </w:r>
            <w:r>
              <w:rPr>
                <w:highlight w:val="yellow"/>
              </w:rPr>
              <w:t>name of individual Warrantor no. 2</w:t>
            </w:r>
            <w:r>
              <w:t xml:space="preserve">]: £[ </w:t>
            </w:r>
            <w:r>
              <w:rPr>
                <w:highlight w:val="yellow"/>
              </w:rPr>
              <w:t>TBC</w:t>
            </w:r>
            <w:r>
              <w:t>], and (iii) [</w:t>
            </w:r>
            <w:r>
              <w:rPr>
                <w:highlight w:val="yellow"/>
              </w:rPr>
              <w:t>name of individual Warrantor no. 3</w:t>
            </w:r>
            <w:r>
              <w:t xml:space="preserve">]: £[ </w:t>
            </w:r>
            <w:r>
              <w:rPr>
                <w:highlight w:val="yellow"/>
              </w:rPr>
              <w:t>TBC</w:t>
            </w:r>
            <w:r>
              <w:t xml:space="preserve">].] </w:t>
            </w:r>
            <w:r>
              <w:rPr>
                <w:b/>
              </w:rPr>
              <w:t>OR</w:t>
            </w:r>
            <w:r>
              <w:t xml:space="preserve"> [This Clause 5.2 is deliberately omitted.] </w:t>
            </w:r>
            <w:r>
              <w:rPr>
                <w:i/>
              </w:rPr>
              <w:t>[With a low investment sum individual caps may be unnecessary in most cases]</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6.</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Investors’ Director:</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rsidP="00257D43">
            <w:pPr>
              <w:jc w:val="both"/>
            </w:pPr>
            <w:r>
              <w:t>[The Investors, acting by Investor Majority, shall be entitled to appoint one director to the Company (and any committee established by the Board) from time to time and remove from office any such person so appointed and to appoint another such person in his place (the “</w:t>
            </w:r>
            <w:r>
              <w:rPr>
                <w:b/>
              </w:rPr>
              <w:t>Investors’ Director</w:t>
            </w:r>
            <w:r>
              <w:t>”) and Condition 6 of the MBM Terms shall apply to each Investors’ Director appointed in accordance with this Clause.</w:t>
            </w:r>
            <w:r w:rsidR="00257D43">
              <w:t xml:space="preserve">  The Investors’ Director shall [</w:t>
            </w:r>
            <w:r w:rsidR="00257D43" w:rsidRPr="00E358BF">
              <w:rPr>
                <w:highlight w:val="yellow"/>
              </w:rPr>
              <w:t>NOT be entitled to charge any fees or expenses]/[be entitled to charge a day rate fee of £[TBC] plus VAT for each scheduled Board meeting, subject to a maximum annual sum of £[TBC]</w:t>
            </w:r>
            <w:r>
              <w:t xml:space="preserve">] </w:t>
            </w:r>
            <w:r>
              <w:rPr>
                <w:b/>
              </w:rPr>
              <w:t>OR</w:t>
            </w:r>
            <w:r>
              <w:t xml:space="preserve"> [The Investors shall not have any express right, individually or amongst themselves or any of their number, to appoint a director to the Company (or any committee established by the Board).] </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7.</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rPr>
                <w:b/>
              </w:rPr>
              <w:t>Observer:</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The Investors shall, acting by Investor Majority, be entitled to appoint a person to the Board (and any committee established by the Board) as an observer and remove any such person so appointed and appoint another such person in his place (the “</w:t>
            </w:r>
            <w:r>
              <w:rPr>
                <w:b/>
              </w:rPr>
              <w:t>Observer</w:t>
            </w:r>
            <w:r>
              <w:t>”) and Condition 7 of the MBM Terms shall apply to each Observer appointed in accordance with this Clause.</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8.</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SEIS / EIS Tax Relief for individual Investors:</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 xml:space="preserve">Condition </w:t>
            </w:r>
            <w:r>
              <w:rPr>
                <w:highlight w:val="yellow"/>
              </w:rPr>
              <w:t>[8.1 (SEIS) / 8.2 (EIS)]</w:t>
            </w:r>
            <w:r>
              <w:t xml:space="preserve"> of the MBM Terms shall [apply in relation to each of the Investors] </w:t>
            </w:r>
            <w:r>
              <w:rPr>
                <w:b/>
              </w:rPr>
              <w:t>OR</w:t>
            </w:r>
            <w:r>
              <w:t xml:space="preserve"> [only apply in relation to [list relevant investors]].  Condition </w:t>
            </w:r>
            <w:r>
              <w:rPr>
                <w:highlight w:val="yellow"/>
              </w:rPr>
              <w:t>[8.1 (SEIS) / 8.2 (EIS)]</w:t>
            </w:r>
            <w:r>
              <w:t xml:space="preserve"> of the MBM Terms shall NOT apply at all.  </w:t>
            </w:r>
            <w:r>
              <w:rPr>
                <w:i/>
              </w:rPr>
              <w:t xml:space="preserve">[If SEIS Relief to apply then condition 8.1 to apply and </w:t>
            </w:r>
            <w:r>
              <w:rPr>
                <w:i/>
              </w:rPr>
              <w:lastRenderedPageBreak/>
              <w:t>8.2 not to apply / If EIS Relief to apply then condition 8.2 to apply and 8.1 not to apply]</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9.</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rsidP="00E770A8">
            <w:pPr>
              <w:jc w:val="both"/>
              <w:rPr>
                <w:b/>
              </w:rPr>
            </w:pPr>
            <w:r>
              <w:rPr>
                <w:b/>
              </w:rPr>
              <w:t xml:space="preserve">What </w:t>
            </w:r>
            <w:r w:rsidR="00E770A8">
              <w:rPr>
                <w:b/>
              </w:rPr>
              <w:t>the Company</w:t>
            </w:r>
            <w:r>
              <w:rPr>
                <w:b/>
              </w:rPr>
              <w:t xml:space="preserve"> </w:t>
            </w:r>
            <w:r w:rsidR="00E770A8">
              <w:rPr>
                <w:b/>
              </w:rPr>
              <w:t>is</w:t>
            </w:r>
            <w:r>
              <w:rPr>
                <w:b/>
              </w:rPr>
              <w:t xml:space="preserve"> </w:t>
            </w:r>
            <w:r>
              <w:rPr>
                <w:b/>
                <w:u w:val="single"/>
              </w:rPr>
              <w:t>not</w:t>
            </w:r>
            <w:r>
              <w:rPr>
                <w:b/>
              </w:rPr>
              <w:t xml:space="preserve"> allowed to do without Investor Majority permission:</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Condition 9 of the MBM Terms shall apply. [</w:t>
            </w:r>
            <w:r>
              <w:rPr>
                <w:i/>
              </w:rPr>
              <w:t>Insert here any further restrictions for IM approval beyond the MBM Terms should this be necessary.</w:t>
            </w:r>
            <w:r>
              <w:t>]</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64784E">
            <w:pPr>
              <w:jc w:val="both"/>
            </w:pPr>
            <w:r>
              <w:t>[</w:t>
            </w:r>
            <w:r w:rsidR="002B1EFB" w:rsidRPr="002B1EFB">
              <w:rPr>
                <w:i/>
              </w:rPr>
              <w:t>insert here if any permitted options or warrants are possible without further IM approval</w:t>
            </w:r>
            <w:r>
              <w:t>]</w:t>
            </w:r>
          </w:p>
        </w:tc>
      </w:tr>
      <w:tr w:rsidR="0064784E" w:rsidTr="0079252F">
        <w:tc>
          <w:tcPr>
            <w:tcW w:w="675" w:type="dxa"/>
            <w:tcBorders>
              <w:top w:val="single" w:sz="4" w:space="0" w:color="auto"/>
              <w:left w:val="single" w:sz="4" w:space="0" w:color="auto"/>
              <w:bottom w:val="single" w:sz="4" w:space="0" w:color="auto"/>
              <w:right w:val="single" w:sz="4" w:space="0" w:color="auto"/>
            </w:tcBorders>
          </w:tcPr>
          <w:p w:rsidR="0064784E" w:rsidRDefault="0064784E">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64784E" w:rsidRDefault="0064784E">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10.</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 xml:space="preserve">Notice of and frequency of Board meetings: </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 xml:space="preserve">Condition 10 of the MBM Terms shall apply. </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11.</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 xml:space="preserve">Good governance obligations of the Board: </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 xml:space="preserve">Condition 11 of the MBM Terms shall apply. </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12.</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Information which the Investors must receive:</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 xml:space="preserve">Condition 12 of the MBM Terms shall apply. </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13.</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Insurance obligations of the Company:</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Condition 13 of the MBM Terms shall apply.</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14.</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Dividend policy:</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 xml:space="preserve">[No dividends shall be paid by the Company unless expressly permitted by the Business Plan and the Board]. / [Condition 14 of the MBM Terms shall apply].  </w:t>
            </w:r>
            <w:r>
              <w:rPr>
                <w:i/>
              </w:rPr>
              <w:t>[Assumes investors have no specific need to have a block on dividends or require to force them]</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rPr>
                <w:b/>
              </w:rPr>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15.</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Business restrictions:</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Condition 15 of the MBM Terms shall apply.</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16.</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New executive directors to sign a deed of accession:</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Condition 16 of the MBM Terms shall apply.</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17.</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New shareholders to sign a deed of adherence:</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Condition 17 of the MBM Terms shall apply.</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18.</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Press releases regarding Investment:</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Condition 18 of the MBM Terms shall apply.</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19.</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Confidentiality:</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Condition 19 of the MBM Terms shall apply.</w:t>
            </w:r>
          </w:p>
        </w:tc>
      </w:tr>
      <w:tr w:rsidR="0079252F" w:rsidTr="0079252F">
        <w:tc>
          <w:tcPr>
            <w:tcW w:w="675"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901" w:type="dxa"/>
            <w:gridSpan w:val="2"/>
            <w:tcBorders>
              <w:top w:val="single" w:sz="4" w:space="0" w:color="auto"/>
              <w:left w:val="single" w:sz="4" w:space="0" w:color="auto"/>
              <w:bottom w:val="single" w:sz="4" w:space="0" w:color="auto"/>
              <w:right w:val="single" w:sz="4" w:space="0" w:color="auto"/>
            </w:tcBorders>
          </w:tcPr>
          <w:p w:rsidR="0079252F" w:rsidRDefault="0079252F">
            <w:pPr>
              <w:jc w:val="both"/>
              <w:rPr>
                <w:b/>
              </w:rPr>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20.</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b/>
              </w:rPr>
            </w:pPr>
            <w:r>
              <w:rPr>
                <w:b/>
              </w:rPr>
              <w:t>General terms:</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20.1</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rPr>
                <w:rFonts w:cs="Calibri"/>
              </w:rPr>
              <w:t>In the case of any conflict between the terms of this Agreement and the provisions of the MBM Articles, the terms of this Agreement shall prevail for as long as this Agreement remains in force.</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20.2</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rPr>
                <w:rFonts w:cs="Calibri"/>
              </w:rPr>
              <w:t xml:space="preserve">This Agreement (which incorporates the MBM Terms), together with the documents referred to herein, constitutes the entire agreement and understanding of the parties and supersedes all prior agreements, representations, discussions, negotiations and arrangements whether written or oral, express or implied, between the parties, their representatives or agents. To avoid doubt, </w:t>
            </w:r>
            <w:r>
              <w:rPr>
                <w:rFonts w:cs="Calibri"/>
              </w:rPr>
              <w:lastRenderedPageBreak/>
              <w:t>all and any previous shareholder agreements between any of the parties in relation to the Company are hereby terminated and shall have no further legal force or effect (notwithstanding any other terms to the contrary).</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lastRenderedPageBreak/>
              <w:t>20.3</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rPr>
                <w:rFonts w:cs="Calibri"/>
              </w:rPr>
              <w:t>No modification or variation of this Agreement shall be enforceable except by an amendment agreed in writing by (i) the Company, (ii) a majority of those Executives who are still employees or directors of the Company from time to time, and (iii) an Investor Majority; provided always that any variation shall apply to all holders of the same class of share equally and that no variation which increases or imposes an obligation on any party shall bind that party unless they have also agreed in writing to such variation.</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20.4</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rsidP="00684F5D">
            <w:pPr>
              <w:jc w:val="both"/>
            </w:pPr>
            <w:r>
              <w:rPr>
                <w:rFonts w:cs="Calibri"/>
              </w:rPr>
              <w:t>Subject to Clause 20.3, in the event that an Executive ceases to be involved with the Company following Completion, then the terms of this Agreement shall cease to apply to that Executive, save for Clauses 5</w:t>
            </w:r>
            <w:r w:rsidR="00684F5D">
              <w:rPr>
                <w:rFonts w:cs="Calibri"/>
              </w:rPr>
              <w:t xml:space="preserve"> (Warranties),</w:t>
            </w:r>
            <w:r>
              <w:rPr>
                <w:rFonts w:cs="Calibri"/>
              </w:rPr>
              <w:t xml:space="preserve"> 15 </w:t>
            </w:r>
            <w:r w:rsidR="00684F5D">
              <w:rPr>
                <w:rFonts w:cs="Calibri"/>
              </w:rPr>
              <w:t xml:space="preserve">(Business Restrictions) and 19 (Confidentiality) </w:t>
            </w:r>
            <w:r>
              <w:rPr>
                <w:rFonts w:cs="Calibri"/>
              </w:rPr>
              <w:t>which shall continue to apply to th</w:t>
            </w:r>
            <w:r w:rsidR="00684F5D">
              <w:rPr>
                <w:rFonts w:cs="Calibri"/>
              </w:rPr>
              <w:t>at</w:t>
            </w:r>
            <w:r>
              <w:rPr>
                <w:rFonts w:cs="Calibri"/>
              </w:rPr>
              <w:t xml:space="preserve"> Executive.</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20.5</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rPr>
                <w:rFonts w:cs="Calibri"/>
              </w:rPr>
              <w:t>The benefit of, and rights and obligations under, this Agreement may not be assigned or transferred by any party, except as expressly provided for the Investors in this Agreement, or as may be agreed subsequently in writing by the parties.  Each of the Investors shall be able to assign the benefit of, and rights and obligations under this Agreement to any purchaser or transferee of all or any of the shares in the Company of the relevant Investor's.</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20.6</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rFonts w:cs="Calibri"/>
              </w:rPr>
            </w:pPr>
            <w:r>
              <w:rPr>
                <w:rFonts w:cs="Calibri"/>
              </w:rPr>
              <w:t>If any provision of this Agreement shall be found by any court or analogous administrative body of competent jurisdiction to be invalid or unenforceable, the invalidity or unenforceability of such provision shall not affect the other provisions of this Agreement and all provisions unaffected by such invalidity or unenforceability shall remain in full force and effect.</w:t>
            </w: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20.7</w:t>
            </w:r>
          </w:p>
        </w:tc>
        <w:tc>
          <w:tcPr>
            <w:tcW w:w="8901"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rPr>
                <w:rFonts w:cs="Calibri"/>
              </w:rPr>
            </w:pPr>
            <w:r>
              <w:rPr>
                <w:rFonts w:cs="Calibri"/>
              </w:rPr>
              <w:t>Any party or any successor of a party who ceases to be legally and beneficially entitled to any shares in the Company and who has complied with all applicable provisions of this Agreement relating to the transfer of such shares shall cease to be bound by this Agreement with the exception (i) of Clause 19 (Confidentiality), and (ii) in the case of an Executive, Clauses 5 (Warranties) and 15 (Business Restrictions), and subject to these exceptions shall cease to be a party to the Agreement and all references to a “party” shall be construed accordingly.</w:t>
            </w:r>
          </w:p>
        </w:tc>
      </w:tr>
    </w:tbl>
    <w:p w:rsidR="00E63C5D" w:rsidRDefault="00E63C5D">
      <w:r>
        <w:br w:type="page"/>
      </w:r>
    </w:p>
    <w:tbl>
      <w:tblPr>
        <w:tblStyle w:val="TableGrid"/>
        <w:tblW w:w="0" w:type="auto"/>
        <w:tblLayout w:type="fixed"/>
        <w:tblLook w:val="04A0" w:firstRow="1" w:lastRow="0" w:firstColumn="1" w:lastColumn="0" w:noHBand="0" w:noVBand="1"/>
      </w:tblPr>
      <w:tblGrid>
        <w:gridCol w:w="675"/>
        <w:gridCol w:w="8901"/>
      </w:tblGrid>
      <w:tr w:rsidR="00E63C5D" w:rsidTr="0079252F">
        <w:tc>
          <w:tcPr>
            <w:tcW w:w="675" w:type="dxa"/>
            <w:tcBorders>
              <w:top w:val="single" w:sz="4" w:space="0" w:color="auto"/>
              <w:left w:val="single" w:sz="4" w:space="0" w:color="auto"/>
              <w:bottom w:val="single" w:sz="4" w:space="0" w:color="auto"/>
              <w:right w:val="single" w:sz="4" w:space="0" w:color="auto"/>
            </w:tcBorders>
            <w:hideMark/>
          </w:tcPr>
          <w:p w:rsidR="00E63C5D" w:rsidRDefault="00E63C5D">
            <w:pPr>
              <w:jc w:val="both"/>
            </w:pPr>
          </w:p>
        </w:tc>
        <w:tc>
          <w:tcPr>
            <w:tcW w:w="8901" w:type="dxa"/>
            <w:tcBorders>
              <w:top w:val="single" w:sz="4" w:space="0" w:color="auto"/>
              <w:left w:val="single" w:sz="4" w:space="0" w:color="auto"/>
              <w:bottom w:val="single" w:sz="4" w:space="0" w:color="auto"/>
              <w:right w:val="single" w:sz="4" w:space="0" w:color="auto"/>
            </w:tcBorders>
            <w:hideMark/>
          </w:tcPr>
          <w:p w:rsidR="00E63C5D" w:rsidRDefault="00E63C5D">
            <w:pPr>
              <w:jc w:val="both"/>
              <w:rPr>
                <w:rFonts w:cs="Calibri"/>
              </w:rPr>
            </w:pPr>
          </w:p>
        </w:tc>
      </w:tr>
      <w:tr w:rsidR="0079252F" w:rsidTr="0079252F">
        <w:tc>
          <w:tcPr>
            <w:tcW w:w="675"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20.8</w:t>
            </w:r>
          </w:p>
        </w:tc>
        <w:tc>
          <w:tcPr>
            <w:tcW w:w="8901" w:type="dxa"/>
            <w:tcBorders>
              <w:top w:val="single" w:sz="4" w:space="0" w:color="auto"/>
              <w:left w:val="single" w:sz="4" w:space="0" w:color="auto"/>
              <w:bottom w:val="single" w:sz="4" w:space="0" w:color="auto"/>
              <w:right w:val="single" w:sz="4" w:space="0" w:color="auto"/>
            </w:tcBorders>
            <w:hideMark/>
          </w:tcPr>
          <w:p w:rsidR="0079252F" w:rsidRDefault="0079252F">
            <w:pPr>
              <w:jc w:val="both"/>
              <w:rPr>
                <w:rFonts w:cs="Calibri"/>
              </w:rPr>
            </w:pPr>
            <w:r>
              <w:rPr>
                <w:rFonts w:cs="Calibri"/>
              </w:rPr>
              <w:t>The construction, validity and performance of this Agreement shall be governed by the Law of Scotland and the parties irrevocably submit to the non-exclusive jurisdiction of the Scottish Courts.</w:t>
            </w:r>
          </w:p>
        </w:tc>
      </w:tr>
      <w:tr w:rsidR="0079252F" w:rsidTr="0079252F">
        <w:tc>
          <w:tcPr>
            <w:tcW w:w="9576" w:type="dxa"/>
            <w:gridSpan w:val="2"/>
            <w:tcBorders>
              <w:top w:val="single" w:sz="4" w:space="0" w:color="auto"/>
              <w:left w:val="single" w:sz="4" w:space="0" w:color="auto"/>
              <w:bottom w:val="single" w:sz="4" w:space="0" w:color="auto"/>
              <w:right w:val="single" w:sz="4" w:space="0" w:color="auto"/>
            </w:tcBorders>
          </w:tcPr>
          <w:p w:rsidR="0079252F" w:rsidRDefault="0079252F"/>
          <w:p w:rsidR="0079252F" w:rsidRDefault="0079252F">
            <w:pPr>
              <w:keepNext/>
              <w:spacing w:before="60" w:after="60"/>
              <w:jc w:val="both"/>
              <w:rPr>
                <w:rFonts w:ascii="Calibri" w:hAnsi="Calibri" w:cs="Calibri"/>
                <w:sz w:val="20"/>
              </w:rPr>
            </w:pPr>
            <w:r>
              <w:rPr>
                <w:rFonts w:ascii="Calibri" w:hAnsi="Calibri" w:cs="Calibri"/>
                <w:sz w:val="20"/>
              </w:rPr>
              <w:t>IN WITNESS WHEREOF these presents consisting of this and the [</w:t>
            </w:r>
            <w:r w:rsidR="00E63C5D">
              <w:rPr>
                <w:rFonts w:ascii="Calibri" w:hAnsi="Calibri" w:cs="Calibri"/>
                <w:sz w:val="20"/>
              </w:rPr>
              <w:t>four</w:t>
            </w:r>
            <w:r>
              <w:rPr>
                <w:rFonts w:ascii="Calibri" w:hAnsi="Calibri" w:cs="Calibri"/>
                <w:sz w:val="20"/>
              </w:rPr>
              <w:t>] preceding pages together with the Schedule comprising [five] Parts are executed in duplicate as follows:-</w:t>
            </w:r>
          </w:p>
          <w:tbl>
            <w:tblPr>
              <w:tblW w:w="8820" w:type="dxa"/>
              <w:jc w:val="center"/>
              <w:tblLayout w:type="fixed"/>
              <w:tblCellMar>
                <w:left w:w="107" w:type="dxa"/>
                <w:right w:w="107" w:type="dxa"/>
              </w:tblCellMar>
              <w:tblLook w:val="04A0" w:firstRow="1" w:lastRow="0" w:firstColumn="1" w:lastColumn="0" w:noHBand="0" w:noVBand="1"/>
            </w:tblPr>
            <w:tblGrid>
              <w:gridCol w:w="4409"/>
              <w:gridCol w:w="4411"/>
            </w:tblGrid>
            <w:tr w:rsidR="0079252F" w:rsidTr="00E358BF">
              <w:trPr>
                <w:jc w:val="center"/>
              </w:trPr>
              <w:tc>
                <w:tcPr>
                  <w:tcW w:w="4409" w:type="dxa"/>
                  <w:tcBorders>
                    <w:top w:val="single" w:sz="4" w:space="0" w:color="auto"/>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They are subscribed for and on behalf of</w:t>
                  </w:r>
                </w:p>
              </w:tc>
              <w:tc>
                <w:tcPr>
                  <w:tcW w:w="4411" w:type="dxa"/>
                  <w:tcBorders>
                    <w:top w:val="single" w:sz="4" w:space="0" w:color="auto"/>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They are subscribed by</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b/>
                      <w:sz w:val="18"/>
                      <w:szCs w:val="18"/>
                    </w:rPr>
                  </w:pPr>
                  <w:r>
                    <w:rPr>
                      <w:rFonts w:ascii="Calibri" w:hAnsi="Calibri" w:cs="Calibri"/>
                      <w:b/>
                      <w:sz w:val="18"/>
                      <w:szCs w:val="18"/>
                    </w:rPr>
                    <w:t>[                  ] LIMITED</w:t>
                  </w:r>
                </w:p>
              </w:tc>
              <w:tc>
                <w:tcPr>
                  <w:tcW w:w="4411"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b/>
                      <w:sz w:val="18"/>
                      <w:szCs w:val="18"/>
                    </w:rPr>
                  </w:pPr>
                  <w:r>
                    <w:rPr>
                      <w:rFonts w:ascii="Calibri" w:hAnsi="Calibri" w:cs="Calibri"/>
                      <w:b/>
                      <w:sz w:val="18"/>
                      <w:szCs w:val="18"/>
                    </w:rPr>
                    <w:t>[Name of Executive]</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 xml:space="preserve">at </w:t>
                  </w:r>
                  <w:r w:rsidR="00E358BF">
                    <w:rPr>
                      <w:rFonts w:ascii="Calibri" w:hAnsi="Calibri" w:cs="Calibri"/>
                      <w:sz w:val="18"/>
                      <w:szCs w:val="18"/>
                    </w:rPr>
                    <w:t>[place]</w:t>
                  </w:r>
                </w:p>
              </w:tc>
              <w:tc>
                <w:tcPr>
                  <w:tcW w:w="4411"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 xml:space="preserve">at </w:t>
                  </w:r>
                  <w:r w:rsidR="00E358BF">
                    <w:rPr>
                      <w:rFonts w:ascii="Calibri" w:hAnsi="Calibri" w:cs="Calibri"/>
                      <w:sz w:val="18"/>
                      <w:szCs w:val="18"/>
                    </w:rPr>
                    <w:t>[place]</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rsidP="00E358B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 xml:space="preserve">on </w:t>
                  </w:r>
                  <w:r w:rsidR="00E358BF">
                    <w:rPr>
                      <w:rFonts w:ascii="Calibri" w:hAnsi="Calibri" w:cs="Calibri"/>
                      <w:sz w:val="18"/>
                      <w:szCs w:val="18"/>
                    </w:rPr>
                    <w:t>[ day ] [ month ] Two Thousand and [ year ]</w:t>
                  </w:r>
                </w:p>
              </w:tc>
              <w:tc>
                <w:tcPr>
                  <w:tcW w:w="4411" w:type="dxa"/>
                  <w:tcBorders>
                    <w:top w:val="nil"/>
                    <w:left w:val="single" w:sz="4" w:space="0" w:color="auto"/>
                    <w:bottom w:val="nil"/>
                    <w:right w:val="single" w:sz="4" w:space="0" w:color="auto"/>
                  </w:tcBorders>
                  <w:hideMark/>
                </w:tcPr>
                <w:p w:rsidR="0079252F" w:rsidRDefault="0079252F" w:rsidP="00E358B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 xml:space="preserve">on </w:t>
                  </w:r>
                  <w:r w:rsidR="00E358BF">
                    <w:rPr>
                      <w:rFonts w:ascii="Calibri" w:hAnsi="Calibri" w:cs="Calibri"/>
                      <w:sz w:val="18"/>
                      <w:szCs w:val="18"/>
                    </w:rPr>
                    <w:t>[ day ] [ month ] Two Thousand and [ year ]</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pos="3616"/>
                      <w:tab w:val="right" w:pos="9360"/>
                    </w:tabs>
                    <w:spacing w:line="240" w:lineRule="auto"/>
                    <w:rPr>
                      <w:rFonts w:ascii="Calibri" w:hAnsi="Calibri" w:cs="Calibri"/>
                      <w:sz w:val="18"/>
                      <w:szCs w:val="18"/>
                    </w:rPr>
                  </w:pPr>
                  <w:r>
                    <w:rPr>
                      <w:rFonts w:ascii="Calibri" w:hAnsi="Calibri" w:cs="Calibri"/>
                      <w:sz w:val="18"/>
                      <w:szCs w:val="18"/>
                    </w:rPr>
                    <w:t xml:space="preserve">by  </w:t>
                  </w:r>
                  <w:r>
                    <w:rPr>
                      <w:rFonts w:ascii="Calibri" w:hAnsi="Calibri" w:cs="Calibri"/>
                      <w:sz w:val="18"/>
                      <w:szCs w:val="18"/>
                    </w:rPr>
                    <w:tab/>
                    <w:t>Director</w:t>
                  </w:r>
                </w:p>
              </w:tc>
              <w:tc>
                <w:tcPr>
                  <w:tcW w:w="4411" w:type="dxa"/>
                  <w:tcBorders>
                    <w:top w:val="nil"/>
                    <w:left w:val="single" w:sz="4" w:space="0" w:color="auto"/>
                    <w:bottom w:val="nil"/>
                    <w:right w:val="single" w:sz="4" w:space="0" w:color="auto"/>
                  </w:tcBorders>
                </w:tcPr>
                <w:p w:rsidR="0079252F" w:rsidRDefault="0079252F">
                  <w:pPr>
                    <w:keepNext/>
                    <w:tabs>
                      <w:tab w:val="right" w:pos="9360"/>
                    </w:tabs>
                    <w:spacing w:line="240" w:lineRule="auto"/>
                    <w:rPr>
                      <w:rFonts w:ascii="Calibri" w:hAnsi="Calibri" w:cs="Calibri"/>
                      <w:sz w:val="18"/>
                      <w:szCs w:val="18"/>
                    </w:rPr>
                  </w:pP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rsidP="00E358BF">
                  <w:pPr>
                    <w:keepNext/>
                    <w:tabs>
                      <w:tab w:val="right" w:leader="underscore" w:pos="2410"/>
                      <w:tab w:val="left" w:pos="2495"/>
                    </w:tabs>
                    <w:spacing w:line="240" w:lineRule="auto"/>
                    <w:rPr>
                      <w:rFonts w:ascii="Calibri" w:hAnsi="Calibri" w:cs="Calibri"/>
                      <w:b/>
                      <w:sz w:val="18"/>
                      <w:szCs w:val="18"/>
                    </w:rPr>
                  </w:pPr>
                  <w:r>
                    <w:rPr>
                      <w:rFonts w:ascii="Calibri" w:hAnsi="Calibri" w:cs="Calibri"/>
                      <w:sz w:val="18"/>
                      <w:szCs w:val="18"/>
                    </w:rPr>
                    <w:t>__________________________</w:t>
                  </w:r>
                  <w:r w:rsidR="00E358BF">
                    <w:rPr>
                      <w:rFonts w:ascii="Calibri" w:hAnsi="Calibri" w:cs="Calibri"/>
                      <w:sz w:val="18"/>
                      <w:szCs w:val="18"/>
                    </w:rPr>
                    <w:t xml:space="preserve"> </w:t>
                  </w:r>
                  <w:r w:rsidR="00E358BF" w:rsidRPr="00E358BF">
                    <w:rPr>
                      <w:rFonts w:ascii="Calibri" w:hAnsi="Calibri" w:cs="Calibri"/>
                      <w:b/>
                      <w:sz w:val="18"/>
                      <w:szCs w:val="18"/>
                    </w:rPr>
                    <w:t>[Director]</w:t>
                  </w:r>
                </w:p>
              </w:tc>
              <w:tc>
                <w:tcPr>
                  <w:tcW w:w="4411" w:type="dxa"/>
                  <w:tcBorders>
                    <w:top w:val="nil"/>
                    <w:left w:val="single" w:sz="4" w:space="0" w:color="auto"/>
                    <w:bottom w:val="nil"/>
                    <w:right w:val="single" w:sz="4" w:space="0" w:color="auto"/>
                  </w:tcBorders>
                  <w:hideMark/>
                </w:tcPr>
                <w:p w:rsidR="0079252F" w:rsidRDefault="0079252F" w:rsidP="00E358BF">
                  <w:pPr>
                    <w:keepNext/>
                    <w:tabs>
                      <w:tab w:val="right" w:leader="underscore" w:pos="2410"/>
                      <w:tab w:val="left" w:pos="2495"/>
                    </w:tabs>
                    <w:spacing w:line="240" w:lineRule="auto"/>
                    <w:rPr>
                      <w:rFonts w:ascii="Calibri" w:hAnsi="Calibri" w:cs="Calibri"/>
                      <w:b/>
                      <w:sz w:val="18"/>
                      <w:szCs w:val="18"/>
                    </w:rPr>
                  </w:pPr>
                  <w:r>
                    <w:rPr>
                      <w:rFonts w:ascii="Calibri" w:hAnsi="Calibri" w:cs="Calibri"/>
                      <w:sz w:val="18"/>
                      <w:szCs w:val="18"/>
                    </w:rPr>
                    <w:t>__________________________</w:t>
                  </w:r>
                  <w:r w:rsidR="00E358BF">
                    <w:rPr>
                      <w:rFonts w:ascii="Calibri" w:hAnsi="Calibri" w:cs="Calibri"/>
                      <w:sz w:val="18"/>
                      <w:szCs w:val="18"/>
                    </w:rPr>
                    <w:t xml:space="preserve"> </w:t>
                  </w:r>
                  <w:r w:rsidR="00E358BF" w:rsidRPr="00E358BF">
                    <w:rPr>
                      <w:rFonts w:ascii="Calibri" w:hAnsi="Calibri" w:cs="Calibri"/>
                      <w:b/>
                      <w:sz w:val="18"/>
                      <w:szCs w:val="18"/>
                    </w:rPr>
                    <w:t>[Executive]</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Before this witness:-</w:t>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Before this witness:-</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Witness</w:t>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Witness</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Full Name</w:t>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Full Name</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Address</w:t>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Address</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p>
              </w:tc>
            </w:tr>
            <w:tr w:rsidR="0079252F" w:rsidTr="00E358BF">
              <w:trPr>
                <w:jc w:val="center"/>
              </w:trPr>
              <w:tc>
                <w:tcPr>
                  <w:tcW w:w="4409" w:type="dxa"/>
                  <w:tcBorders>
                    <w:top w:val="nil"/>
                    <w:left w:val="single" w:sz="4" w:space="0" w:color="auto"/>
                    <w:bottom w:val="single" w:sz="4" w:space="0" w:color="auto"/>
                    <w:right w:val="single" w:sz="4" w:space="0" w:color="auto"/>
                  </w:tcBorders>
                </w:tcPr>
                <w:p w:rsidR="0079252F" w:rsidRDefault="0079252F">
                  <w:pPr>
                    <w:keepNext/>
                    <w:spacing w:line="240" w:lineRule="auto"/>
                    <w:rPr>
                      <w:rFonts w:ascii="Calibri" w:hAnsi="Calibri" w:cs="Calibri"/>
                      <w:sz w:val="18"/>
                      <w:szCs w:val="18"/>
                    </w:rPr>
                  </w:pPr>
                </w:p>
              </w:tc>
              <w:tc>
                <w:tcPr>
                  <w:tcW w:w="4411" w:type="dxa"/>
                  <w:tcBorders>
                    <w:top w:val="nil"/>
                    <w:left w:val="single" w:sz="4" w:space="0" w:color="auto"/>
                    <w:bottom w:val="single" w:sz="4" w:space="0" w:color="auto"/>
                    <w:right w:val="single" w:sz="4" w:space="0" w:color="auto"/>
                  </w:tcBorders>
                </w:tcPr>
                <w:p w:rsidR="0079252F" w:rsidRDefault="0079252F">
                  <w:pPr>
                    <w:keepNext/>
                    <w:spacing w:line="240" w:lineRule="auto"/>
                    <w:rPr>
                      <w:rFonts w:ascii="Calibri" w:hAnsi="Calibri" w:cs="Calibri"/>
                      <w:sz w:val="18"/>
                      <w:szCs w:val="18"/>
                    </w:rPr>
                  </w:pPr>
                </w:p>
              </w:tc>
            </w:tr>
          </w:tbl>
          <w:p w:rsidR="0079252F" w:rsidRDefault="0079252F">
            <w:pPr>
              <w:spacing w:before="60" w:after="60"/>
              <w:jc w:val="both"/>
              <w:rPr>
                <w:rFonts w:ascii="Calibri" w:hAnsi="Calibri" w:cs="Calibri"/>
                <w:sz w:val="20"/>
              </w:rPr>
            </w:pPr>
          </w:p>
          <w:tbl>
            <w:tblPr>
              <w:tblW w:w="8820" w:type="dxa"/>
              <w:jc w:val="center"/>
              <w:tblLayout w:type="fixed"/>
              <w:tblCellMar>
                <w:left w:w="107" w:type="dxa"/>
                <w:right w:w="107" w:type="dxa"/>
              </w:tblCellMar>
              <w:tblLook w:val="04A0" w:firstRow="1" w:lastRow="0" w:firstColumn="1" w:lastColumn="0" w:noHBand="0" w:noVBand="1"/>
            </w:tblPr>
            <w:tblGrid>
              <w:gridCol w:w="4409"/>
              <w:gridCol w:w="4411"/>
            </w:tblGrid>
            <w:tr w:rsidR="0079252F" w:rsidTr="00E358BF">
              <w:trPr>
                <w:jc w:val="center"/>
              </w:trPr>
              <w:tc>
                <w:tcPr>
                  <w:tcW w:w="4409" w:type="dxa"/>
                  <w:tcBorders>
                    <w:top w:val="single" w:sz="4" w:space="0" w:color="auto"/>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They are subscribed by</w:t>
                  </w:r>
                </w:p>
              </w:tc>
              <w:tc>
                <w:tcPr>
                  <w:tcW w:w="4411" w:type="dxa"/>
                  <w:tcBorders>
                    <w:top w:val="single" w:sz="4" w:space="0" w:color="auto"/>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They are subscribed by</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b/>
                      <w:sz w:val="18"/>
                      <w:szCs w:val="18"/>
                    </w:rPr>
                  </w:pPr>
                  <w:r>
                    <w:rPr>
                      <w:rFonts w:ascii="Calibri" w:hAnsi="Calibri" w:cs="Calibri"/>
                      <w:b/>
                      <w:sz w:val="18"/>
                      <w:szCs w:val="18"/>
                    </w:rPr>
                    <w:t>[Name of Executive/Warrantor]</w:t>
                  </w:r>
                </w:p>
              </w:tc>
              <w:tc>
                <w:tcPr>
                  <w:tcW w:w="4411"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b/>
                      <w:sz w:val="18"/>
                      <w:szCs w:val="18"/>
                    </w:rPr>
                  </w:pPr>
                  <w:r>
                    <w:rPr>
                      <w:rFonts w:ascii="Calibri" w:hAnsi="Calibri" w:cs="Calibri"/>
                      <w:b/>
                      <w:sz w:val="18"/>
                      <w:szCs w:val="18"/>
                    </w:rPr>
                    <w:t>[Name of Executive/Warrantor]</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 xml:space="preserve">at </w:t>
                  </w:r>
                  <w:r w:rsidR="00E358BF">
                    <w:rPr>
                      <w:rFonts w:ascii="Calibri" w:hAnsi="Calibri" w:cs="Calibri"/>
                      <w:sz w:val="18"/>
                      <w:szCs w:val="18"/>
                    </w:rPr>
                    <w:t>[place]</w:t>
                  </w:r>
                </w:p>
              </w:tc>
              <w:tc>
                <w:tcPr>
                  <w:tcW w:w="4411"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 xml:space="preserve">at </w:t>
                  </w:r>
                  <w:r w:rsidR="00E358BF">
                    <w:rPr>
                      <w:rFonts w:ascii="Calibri" w:hAnsi="Calibri" w:cs="Calibri"/>
                      <w:sz w:val="18"/>
                      <w:szCs w:val="18"/>
                    </w:rPr>
                    <w:t>[place]</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 xml:space="preserve">on </w:t>
                  </w:r>
                  <w:r w:rsidR="00E358BF">
                    <w:rPr>
                      <w:rFonts w:ascii="Calibri" w:hAnsi="Calibri" w:cs="Calibri"/>
                      <w:sz w:val="18"/>
                      <w:szCs w:val="18"/>
                    </w:rPr>
                    <w:t xml:space="preserve"> [ day ] [ month ] Two Thousand and [ year ]</w:t>
                  </w:r>
                </w:p>
              </w:tc>
              <w:tc>
                <w:tcPr>
                  <w:tcW w:w="4411" w:type="dxa"/>
                  <w:tcBorders>
                    <w:top w:val="nil"/>
                    <w:left w:val="single" w:sz="4" w:space="0" w:color="auto"/>
                    <w:bottom w:val="nil"/>
                    <w:right w:val="single" w:sz="4" w:space="0" w:color="auto"/>
                  </w:tcBorders>
                  <w:hideMark/>
                </w:tcPr>
                <w:p w:rsidR="0079252F" w:rsidRDefault="0079252F" w:rsidP="00E358B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 xml:space="preserve">on </w:t>
                  </w:r>
                  <w:r w:rsidR="00E358BF">
                    <w:rPr>
                      <w:rFonts w:ascii="Calibri" w:hAnsi="Calibri" w:cs="Calibri"/>
                      <w:sz w:val="18"/>
                      <w:szCs w:val="18"/>
                    </w:rPr>
                    <w:t>[ day ] [ month ] Two Thousand and [ year ]</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__________________________</w:t>
                  </w:r>
                </w:p>
                <w:p w:rsidR="0079252F" w:rsidRDefault="0079252F">
                  <w:pPr>
                    <w:keepNext/>
                    <w:tabs>
                      <w:tab w:val="right" w:leader="underscore" w:pos="2410"/>
                      <w:tab w:val="left" w:pos="2495"/>
                    </w:tabs>
                    <w:spacing w:line="240" w:lineRule="auto"/>
                    <w:rPr>
                      <w:rFonts w:ascii="Calibri" w:hAnsi="Calibri" w:cs="Calibri"/>
                      <w:b/>
                      <w:sz w:val="18"/>
                      <w:szCs w:val="18"/>
                    </w:rPr>
                  </w:pPr>
                  <w:r>
                    <w:rPr>
                      <w:rFonts w:ascii="Calibri" w:hAnsi="Calibri" w:cs="Calibri"/>
                      <w:b/>
                      <w:sz w:val="18"/>
                      <w:szCs w:val="18"/>
                    </w:rPr>
                    <w:t>[Executive/Warrantor]</w:t>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__________________________</w:t>
                  </w:r>
                </w:p>
                <w:p w:rsidR="0079252F" w:rsidRDefault="0079252F">
                  <w:pPr>
                    <w:keepNext/>
                    <w:tabs>
                      <w:tab w:val="right" w:leader="underscore" w:pos="2410"/>
                      <w:tab w:val="left" w:pos="2495"/>
                    </w:tabs>
                    <w:spacing w:line="240" w:lineRule="auto"/>
                    <w:rPr>
                      <w:rFonts w:ascii="Calibri" w:hAnsi="Calibri" w:cs="Calibri"/>
                      <w:b/>
                      <w:sz w:val="18"/>
                      <w:szCs w:val="18"/>
                    </w:rPr>
                  </w:pPr>
                  <w:r>
                    <w:rPr>
                      <w:rFonts w:ascii="Calibri" w:hAnsi="Calibri" w:cs="Calibri"/>
                      <w:b/>
                      <w:sz w:val="18"/>
                      <w:szCs w:val="18"/>
                    </w:rPr>
                    <w:t>[Executive/Warrantor]</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Before this witness:-</w:t>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Before this witness:-</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Witness</w:t>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Witness</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Full Name</w:t>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Full Name</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Address</w:t>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Address</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p>
              </w:tc>
            </w:tr>
            <w:tr w:rsidR="0079252F" w:rsidTr="00E358BF">
              <w:trPr>
                <w:jc w:val="center"/>
              </w:trPr>
              <w:tc>
                <w:tcPr>
                  <w:tcW w:w="4409" w:type="dxa"/>
                  <w:tcBorders>
                    <w:top w:val="nil"/>
                    <w:left w:val="single" w:sz="4" w:space="0" w:color="auto"/>
                    <w:bottom w:val="single" w:sz="4" w:space="0" w:color="auto"/>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p>
              </w:tc>
              <w:tc>
                <w:tcPr>
                  <w:tcW w:w="4411" w:type="dxa"/>
                  <w:tcBorders>
                    <w:top w:val="nil"/>
                    <w:left w:val="single" w:sz="4" w:space="0" w:color="auto"/>
                    <w:bottom w:val="single" w:sz="4" w:space="0" w:color="auto"/>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p>
              </w:tc>
            </w:tr>
          </w:tbl>
          <w:p w:rsidR="0079252F" w:rsidRDefault="0079252F">
            <w:pPr>
              <w:spacing w:before="60" w:after="60"/>
              <w:jc w:val="both"/>
              <w:rPr>
                <w:rFonts w:ascii="Calibri" w:hAnsi="Calibri" w:cs="Calibri"/>
                <w:sz w:val="20"/>
              </w:rPr>
            </w:pPr>
          </w:p>
          <w:tbl>
            <w:tblPr>
              <w:tblW w:w="8820" w:type="dxa"/>
              <w:jc w:val="center"/>
              <w:tblLayout w:type="fixed"/>
              <w:tblCellMar>
                <w:left w:w="107" w:type="dxa"/>
                <w:right w:w="107" w:type="dxa"/>
              </w:tblCellMar>
              <w:tblLook w:val="04A0" w:firstRow="1" w:lastRow="0" w:firstColumn="1" w:lastColumn="0" w:noHBand="0" w:noVBand="1"/>
            </w:tblPr>
            <w:tblGrid>
              <w:gridCol w:w="4409"/>
              <w:gridCol w:w="4411"/>
            </w:tblGrid>
            <w:tr w:rsidR="0079252F" w:rsidTr="00E358BF">
              <w:trPr>
                <w:jc w:val="center"/>
              </w:trPr>
              <w:tc>
                <w:tcPr>
                  <w:tcW w:w="4409" w:type="dxa"/>
                  <w:tcBorders>
                    <w:top w:val="single" w:sz="4" w:space="0" w:color="auto"/>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They are subscribed by</w:t>
                  </w:r>
                </w:p>
              </w:tc>
              <w:tc>
                <w:tcPr>
                  <w:tcW w:w="4411" w:type="dxa"/>
                  <w:tcBorders>
                    <w:top w:val="single" w:sz="4" w:space="0" w:color="auto"/>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They are subscribed by</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b/>
                      <w:sz w:val="18"/>
                      <w:szCs w:val="18"/>
                    </w:rPr>
                  </w:pPr>
                  <w:r>
                    <w:rPr>
                      <w:rFonts w:ascii="Calibri" w:hAnsi="Calibri" w:cs="Calibri"/>
                      <w:b/>
                      <w:sz w:val="18"/>
                      <w:szCs w:val="18"/>
                    </w:rPr>
                    <w:t>[Name of Investor]</w:t>
                  </w:r>
                </w:p>
              </w:tc>
              <w:tc>
                <w:tcPr>
                  <w:tcW w:w="4411"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b/>
                      <w:sz w:val="18"/>
                      <w:szCs w:val="18"/>
                    </w:rPr>
                  </w:pPr>
                  <w:r>
                    <w:rPr>
                      <w:rFonts w:ascii="Calibri" w:hAnsi="Calibri" w:cs="Calibri"/>
                      <w:b/>
                      <w:sz w:val="18"/>
                      <w:szCs w:val="18"/>
                    </w:rPr>
                    <w:t>[Name of Investor]</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 xml:space="preserve">at </w:t>
                  </w:r>
                  <w:r w:rsidR="00E358BF">
                    <w:rPr>
                      <w:rFonts w:ascii="Calibri" w:hAnsi="Calibri" w:cs="Calibri"/>
                      <w:sz w:val="18"/>
                      <w:szCs w:val="18"/>
                    </w:rPr>
                    <w:t>[place]</w:t>
                  </w:r>
                </w:p>
              </w:tc>
              <w:tc>
                <w:tcPr>
                  <w:tcW w:w="4411"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 xml:space="preserve">at </w:t>
                  </w:r>
                  <w:r w:rsidR="00E358BF">
                    <w:rPr>
                      <w:rFonts w:ascii="Calibri" w:hAnsi="Calibri" w:cs="Calibri"/>
                      <w:sz w:val="18"/>
                      <w:szCs w:val="18"/>
                    </w:rPr>
                    <w:t>[place]</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 xml:space="preserve">on </w:t>
                  </w:r>
                  <w:r w:rsidR="00E358BF">
                    <w:rPr>
                      <w:rFonts w:ascii="Calibri" w:hAnsi="Calibri" w:cs="Calibri"/>
                      <w:sz w:val="18"/>
                      <w:szCs w:val="18"/>
                    </w:rPr>
                    <w:t xml:space="preserve"> [ day ] [ month ] Two Thousand and [ year ]</w:t>
                  </w:r>
                </w:p>
              </w:tc>
              <w:tc>
                <w:tcPr>
                  <w:tcW w:w="4411" w:type="dxa"/>
                  <w:tcBorders>
                    <w:top w:val="nil"/>
                    <w:left w:val="single" w:sz="4" w:space="0" w:color="auto"/>
                    <w:bottom w:val="nil"/>
                    <w:right w:val="single" w:sz="4" w:space="0" w:color="auto"/>
                  </w:tcBorders>
                  <w:hideMark/>
                </w:tcPr>
                <w:p w:rsidR="0079252F" w:rsidRDefault="0079252F">
                  <w:pPr>
                    <w:keepNext/>
                    <w:tabs>
                      <w:tab w:val="left" w:pos="1440"/>
                      <w:tab w:val="right" w:pos="9360"/>
                    </w:tabs>
                    <w:spacing w:line="240" w:lineRule="auto"/>
                    <w:rPr>
                      <w:rFonts w:ascii="Calibri" w:hAnsi="Calibri" w:cs="Calibri"/>
                      <w:sz w:val="18"/>
                      <w:szCs w:val="18"/>
                    </w:rPr>
                  </w:pPr>
                  <w:r>
                    <w:rPr>
                      <w:rFonts w:ascii="Calibri" w:hAnsi="Calibri" w:cs="Calibri"/>
                      <w:sz w:val="18"/>
                      <w:szCs w:val="18"/>
                    </w:rPr>
                    <w:t xml:space="preserve">on </w:t>
                  </w:r>
                  <w:r w:rsidR="00E358BF">
                    <w:rPr>
                      <w:rFonts w:ascii="Calibri" w:hAnsi="Calibri" w:cs="Calibri"/>
                      <w:sz w:val="18"/>
                      <w:szCs w:val="18"/>
                    </w:rPr>
                    <w:t xml:space="preserve"> [ day ] [ month ] Two Thousand and [ year ]</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__________________________</w:t>
                  </w:r>
                </w:p>
                <w:p w:rsidR="0079252F" w:rsidRDefault="0079252F">
                  <w:pPr>
                    <w:keepNext/>
                    <w:tabs>
                      <w:tab w:val="right" w:leader="underscore" w:pos="2410"/>
                      <w:tab w:val="left" w:pos="2495"/>
                    </w:tabs>
                    <w:spacing w:line="240" w:lineRule="auto"/>
                    <w:rPr>
                      <w:rFonts w:ascii="Calibri" w:hAnsi="Calibri" w:cs="Calibri"/>
                      <w:b/>
                      <w:sz w:val="18"/>
                      <w:szCs w:val="18"/>
                    </w:rPr>
                  </w:pPr>
                  <w:r>
                    <w:rPr>
                      <w:rFonts w:ascii="Calibri" w:hAnsi="Calibri" w:cs="Calibri"/>
                      <w:b/>
                      <w:sz w:val="18"/>
                      <w:szCs w:val="18"/>
                    </w:rPr>
                    <w:t>[Investor]</w:t>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__________________________</w:t>
                  </w:r>
                </w:p>
                <w:p w:rsidR="0079252F" w:rsidRDefault="0079252F">
                  <w:pPr>
                    <w:keepNext/>
                    <w:tabs>
                      <w:tab w:val="right" w:leader="underscore" w:pos="2410"/>
                      <w:tab w:val="left" w:pos="2495"/>
                    </w:tabs>
                    <w:spacing w:line="240" w:lineRule="auto"/>
                    <w:rPr>
                      <w:rFonts w:ascii="Calibri" w:hAnsi="Calibri" w:cs="Calibri"/>
                      <w:b/>
                      <w:sz w:val="18"/>
                      <w:szCs w:val="18"/>
                    </w:rPr>
                  </w:pPr>
                  <w:r>
                    <w:rPr>
                      <w:rFonts w:ascii="Calibri" w:hAnsi="Calibri" w:cs="Calibri"/>
                      <w:b/>
                      <w:sz w:val="18"/>
                      <w:szCs w:val="18"/>
                    </w:rPr>
                    <w:t>[Investor]</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Before this witness:-</w:t>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Before this witness:-</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Witness</w:t>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Witness</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Full Name</w:t>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Full Name</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Address</w:t>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t>Address</w:t>
                  </w:r>
                </w:p>
              </w:tc>
            </w:tr>
            <w:tr w:rsidR="0079252F" w:rsidTr="00E358BF">
              <w:trPr>
                <w:jc w:val="center"/>
              </w:trPr>
              <w:tc>
                <w:tcPr>
                  <w:tcW w:w="4409"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p>
              </w:tc>
              <w:tc>
                <w:tcPr>
                  <w:tcW w:w="4411" w:type="dxa"/>
                  <w:tcBorders>
                    <w:top w:val="nil"/>
                    <w:left w:val="single" w:sz="4" w:space="0" w:color="auto"/>
                    <w:bottom w:val="nil"/>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p>
              </w:tc>
            </w:tr>
            <w:tr w:rsidR="0079252F" w:rsidTr="00E358BF">
              <w:trPr>
                <w:jc w:val="center"/>
              </w:trPr>
              <w:tc>
                <w:tcPr>
                  <w:tcW w:w="4409" w:type="dxa"/>
                  <w:tcBorders>
                    <w:top w:val="nil"/>
                    <w:left w:val="single" w:sz="4" w:space="0" w:color="auto"/>
                    <w:bottom w:val="single" w:sz="4" w:space="0" w:color="auto"/>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p>
              </w:tc>
              <w:tc>
                <w:tcPr>
                  <w:tcW w:w="4411" w:type="dxa"/>
                  <w:tcBorders>
                    <w:top w:val="nil"/>
                    <w:left w:val="single" w:sz="4" w:space="0" w:color="auto"/>
                    <w:bottom w:val="single" w:sz="4" w:space="0" w:color="auto"/>
                    <w:right w:val="single" w:sz="4" w:space="0" w:color="auto"/>
                  </w:tcBorders>
                  <w:hideMark/>
                </w:tcPr>
                <w:p w:rsidR="0079252F" w:rsidRDefault="0079252F">
                  <w:pPr>
                    <w:keepNext/>
                    <w:tabs>
                      <w:tab w:val="right" w:leader="underscore" w:pos="2410"/>
                      <w:tab w:val="left" w:pos="2495"/>
                    </w:tabs>
                    <w:spacing w:line="240" w:lineRule="auto"/>
                    <w:rPr>
                      <w:rFonts w:ascii="Calibri" w:hAnsi="Calibri" w:cs="Calibri"/>
                      <w:sz w:val="18"/>
                      <w:szCs w:val="18"/>
                    </w:rPr>
                  </w:pPr>
                  <w:r>
                    <w:rPr>
                      <w:rFonts w:ascii="Calibri" w:hAnsi="Calibri" w:cs="Calibri"/>
                      <w:sz w:val="18"/>
                      <w:szCs w:val="18"/>
                    </w:rPr>
                    <w:tab/>
                  </w:r>
                </w:p>
              </w:tc>
            </w:tr>
          </w:tbl>
          <w:p w:rsidR="0079252F" w:rsidRDefault="0079252F">
            <w:pPr>
              <w:spacing w:before="60" w:after="60"/>
              <w:jc w:val="both"/>
              <w:rPr>
                <w:rFonts w:ascii="Calibri" w:hAnsi="Calibri" w:cs="Calibri"/>
                <w:sz w:val="20"/>
              </w:rPr>
            </w:pPr>
          </w:p>
          <w:p w:rsidR="0079252F" w:rsidRDefault="0079252F"/>
        </w:tc>
      </w:tr>
    </w:tbl>
    <w:p w:rsidR="00E63C5D" w:rsidRDefault="00E63C5D"/>
    <w:p w:rsidR="00E63C5D" w:rsidRDefault="00E63C5D">
      <w:r>
        <w:br w:type="page"/>
      </w:r>
    </w:p>
    <w:p w:rsidR="0079252F" w:rsidRDefault="0079252F" w:rsidP="0079252F"/>
    <w:tbl>
      <w:tblPr>
        <w:tblStyle w:val="TableGrid"/>
        <w:tblW w:w="0" w:type="auto"/>
        <w:tblLayout w:type="fixed"/>
        <w:tblLook w:val="04A0" w:firstRow="1" w:lastRow="0" w:firstColumn="1" w:lastColumn="0" w:noHBand="0" w:noVBand="1"/>
      </w:tblPr>
      <w:tblGrid>
        <w:gridCol w:w="959"/>
        <w:gridCol w:w="567"/>
        <w:gridCol w:w="8050"/>
      </w:tblGrid>
      <w:tr w:rsidR="0079252F" w:rsidTr="0079252F">
        <w:tc>
          <w:tcPr>
            <w:tcW w:w="9576" w:type="dxa"/>
            <w:gridSpan w:val="3"/>
            <w:tcBorders>
              <w:top w:val="single" w:sz="4" w:space="0" w:color="auto"/>
              <w:left w:val="single" w:sz="4" w:space="0" w:color="auto"/>
              <w:bottom w:val="single" w:sz="4" w:space="0" w:color="auto"/>
              <w:right w:val="single" w:sz="4" w:space="0" w:color="auto"/>
            </w:tcBorders>
          </w:tcPr>
          <w:p w:rsidR="0079252F" w:rsidRDefault="0079252F">
            <w:pPr>
              <w:jc w:val="both"/>
              <w:rPr>
                <w:rStyle w:val="BoldUnderlineStyle"/>
                <w:rFonts w:cs="Calibri"/>
                <w:b w:val="0"/>
              </w:rPr>
            </w:pPr>
            <w:r>
              <w:rPr>
                <w:rStyle w:val="BoldUnderlineStyle"/>
                <w:rFonts w:cs="Calibri"/>
              </w:rPr>
              <w:t>This is the Schedule in [five] parts referred to in the foregoing Seed Investment Agreement between [</w:t>
            </w:r>
            <w:r w:rsidR="00021ECE">
              <w:rPr>
                <w:rStyle w:val="BoldUnderlineStyle"/>
                <w:rFonts w:cs="Calibri"/>
                <w:b w:val="0"/>
              </w:rPr>
              <w:fldChar w:fldCharType="begin">
                <w:ffData>
                  <w:name w:val="Text66"/>
                  <w:enabled/>
                  <w:calcOnExit w:val="0"/>
                  <w:textInput/>
                </w:ffData>
              </w:fldChar>
            </w:r>
            <w:bookmarkStart w:id="1" w:name="Text66"/>
            <w:r>
              <w:rPr>
                <w:rStyle w:val="BoldUnderlineStyle"/>
                <w:rFonts w:cs="Calibri"/>
              </w:rPr>
              <w:instrText xml:space="preserve"> FORMTEXT </w:instrText>
            </w:r>
            <w:r w:rsidR="00021ECE">
              <w:rPr>
                <w:rStyle w:val="BoldUnderlineStyle"/>
                <w:rFonts w:cs="Calibri"/>
                <w:b w:val="0"/>
              </w:rPr>
            </w:r>
            <w:r w:rsidR="00021ECE">
              <w:rPr>
                <w:rStyle w:val="BoldUnderlineStyle"/>
                <w:rFonts w:cs="Calibri"/>
                <w:b w:val="0"/>
              </w:rPr>
              <w:fldChar w:fldCharType="separate"/>
            </w:r>
            <w:r>
              <w:rPr>
                <w:rStyle w:val="BoldUnderlineStyle"/>
                <w:rFonts w:cs="Calibri"/>
                <w:noProof/>
              </w:rPr>
              <w:t> </w:t>
            </w:r>
            <w:r>
              <w:rPr>
                <w:rStyle w:val="BoldUnderlineStyle"/>
                <w:rFonts w:cs="Calibri"/>
                <w:noProof/>
              </w:rPr>
              <w:t> </w:t>
            </w:r>
            <w:r>
              <w:rPr>
                <w:rStyle w:val="BoldUnderlineStyle"/>
                <w:rFonts w:cs="Calibri"/>
                <w:noProof/>
              </w:rPr>
              <w:t> </w:t>
            </w:r>
            <w:r>
              <w:rPr>
                <w:rStyle w:val="BoldUnderlineStyle"/>
                <w:rFonts w:cs="Calibri"/>
                <w:noProof/>
              </w:rPr>
              <w:t> </w:t>
            </w:r>
            <w:r>
              <w:rPr>
                <w:rStyle w:val="BoldUnderlineStyle"/>
                <w:rFonts w:cs="Calibri"/>
                <w:noProof/>
              </w:rPr>
              <w:t> </w:t>
            </w:r>
            <w:r w:rsidR="00021ECE">
              <w:fldChar w:fldCharType="end"/>
            </w:r>
            <w:bookmarkEnd w:id="1"/>
            <w:r>
              <w:rPr>
                <w:rStyle w:val="BoldUnderlineStyle"/>
                <w:rFonts w:cs="Calibri"/>
              </w:rPr>
              <w:t>] Limited, the Executives (as defined therein), the Investors (as defined therein) [and others] dated on or around [</w:t>
            </w:r>
            <w:r w:rsidR="00021ECE">
              <w:rPr>
                <w:rStyle w:val="BoldUnderlineStyle"/>
                <w:rFonts w:cs="Calibri"/>
                <w:b w:val="0"/>
              </w:rPr>
              <w:fldChar w:fldCharType="begin">
                <w:ffData>
                  <w:name w:val="Text67"/>
                  <w:enabled/>
                  <w:calcOnExit w:val="0"/>
                  <w:textInput/>
                </w:ffData>
              </w:fldChar>
            </w:r>
            <w:bookmarkStart w:id="2" w:name="Text67"/>
            <w:r>
              <w:rPr>
                <w:rStyle w:val="BoldUnderlineStyle"/>
                <w:rFonts w:cs="Calibri"/>
              </w:rPr>
              <w:instrText xml:space="preserve"> FORMTEXT </w:instrText>
            </w:r>
            <w:r w:rsidR="00021ECE">
              <w:rPr>
                <w:rStyle w:val="BoldUnderlineStyle"/>
                <w:rFonts w:cs="Calibri"/>
                <w:b w:val="0"/>
              </w:rPr>
            </w:r>
            <w:r w:rsidR="00021ECE">
              <w:rPr>
                <w:rStyle w:val="BoldUnderlineStyle"/>
                <w:rFonts w:cs="Calibri"/>
                <w:b w:val="0"/>
              </w:rPr>
              <w:fldChar w:fldCharType="separate"/>
            </w:r>
            <w:r>
              <w:rPr>
                <w:rStyle w:val="BoldUnderlineStyle"/>
                <w:rFonts w:cs="Calibri"/>
                <w:noProof/>
              </w:rPr>
              <w:t> </w:t>
            </w:r>
            <w:r>
              <w:rPr>
                <w:rStyle w:val="BoldUnderlineStyle"/>
                <w:rFonts w:cs="Calibri"/>
                <w:noProof/>
              </w:rPr>
              <w:t> </w:t>
            </w:r>
            <w:r>
              <w:rPr>
                <w:rStyle w:val="BoldUnderlineStyle"/>
                <w:rFonts w:cs="Calibri"/>
                <w:noProof/>
              </w:rPr>
              <w:t> </w:t>
            </w:r>
            <w:r>
              <w:rPr>
                <w:rStyle w:val="BoldUnderlineStyle"/>
                <w:rFonts w:cs="Calibri"/>
                <w:noProof/>
              </w:rPr>
              <w:t> </w:t>
            </w:r>
            <w:r>
              <w:rPr>
                <w:rStyle w:val="BoldUnderlineStyle"/>
                <w:rFonts w:cs="Calibri"/>
                <w:noProof/>
              </w:rPr>
              <w:t> </w:t>
            </w:r>
            <w:r w:rsidR="00021ECE">
              <w:fldChar w:fldCharType="end"/>
            </w:r>
            <w:bookmarkEnd w:id="2"/>
            <w:r>
              <w:rPr>
                <w:rStyle w:val="BoldUnderlineStyle"/>
                <w:rFonts w:cs="Calibri"/>
              </w:rPr>
              <w:t>]</w:t>
            </w:r>
          </w:p>
          <w:p w:rsidR="0079252F" w:rsidRDefault="0079252F">
            <w:pPr>
              <w:rPr>
                <w:b/>
              </w:rPr>
            </w:pP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tc>
        <w:tc>
          <w:tcPr>
            <w:tcW w:w="8617" w:type="dxa"/>
            <w:gridSpan w:val="2"/>
            <w:tcBorders>
              <w:top w:val="single" w:sz="4" w:space="0" w:color="auto"/>
              <w:left w:val="single" w:sz="4" w:space="0" w:color="auto"/>
              <w:bottom w:val="single" w:sz="4" w:space="0" w:color="auto"/>
              <w:right w:val="single" w:sz="4" w:space="0" w:color="auto"/>
            </w:tcBorders>
          </w:tcPr>
          <w:p w:rsidR="0079252F" w:rsidRDefault="0079252F">
            <w:pPr>
              <w:rPr>
                <w:b/>
              </w:rPr>
            </w:pP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tc>
        <w:tc>
          <w:tcPr>
            <w:tcW w:w="8617" w:type="dxa"/>
            <w:gridSpan w:val="2"/>
            <w:tcBorders>
              <w:top w:val="single" w:sz="4" w:space="0" w:color="auto"/>
              <w:left w:val="single" w:sz="4" w:space="0" w:color="auto"/>
              <w:bottom w:val="single" w:sz="4" w:space="0" w:color="auto"/>
              <w:right w:val="single" w:sz="4" w:space="0" w:color="auto"/>
            </w:tcBorders>
            <w:hideMark/>
          </w:tcPr>
          <w:p w:rsidR="0079252F" w:rsidRDefault="0079252F">
            <w:pPr>
              <w:rPr>
                <w:b/>
              </w:rPr>
            </w:pPr>
            <w:r>
              <w:rPr>
                <w:b/>
              </w:rPr>
              <w:t>Part 1 of the Schedule – Definitions</w:t>
            </w: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617" w:type="dxa"/>
            <w:gridSpan w:val="2"/>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1526"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“Agreement”</w:t>
            </w:r>
          </w:p>
        </w:tc>
        <w:tc>
          <w:tcPr>
            <w:tcW w:w="8050" w:type="dxa"/>
            <w:tcBorders>
              <w:top w:val="single" w:sz="4" w:space="0" w:color="auto"/>
              <w:left w:val="single" w:sz="4" w:space="0" w:color="auto"/>
              <w:bottom w:val="single" w:sz="4" w:space="0" w:color="auto"/>
              <w:right w:val="single" w:sz="4" w:space="0" w:color="auto"/>
            </w:tcBorders>
            <w:hideMark/>
          </w:tcPr>
          <w:p w:rsidR="0079252F" w:rsidRDefault="0079252F" w:rsidP="007C39A2">
            <w:pPr>
              <w:jc w:val="both"/>
            </w:pPr>
            <w:r>
              <w:t>means this Seed Investment Agreement as amended or varied in accordance with its terms;</w:t>
            </w:r>
          </w:p>
        </w:tc>
      </w:tr>
      <w:tr w:rsidR="0079252F" w:rsidTr="0079252F">
        <w:tc>
          <w:tcPr>
            <w:tcW w:w="1526"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“Board”</w:t>
            </w:r>
          </w:p>
        </w:tc>
        <w:tc>
          <w:tcPr>
            <w:tcW w:w="8050"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means the directors of the Company from time to time, present at a meeting of the directors, duly convened and held;</w:t>
            </w:r>
          </w:p>
        </w:tc>
      </w:tr>
      <w:tr w:rsidR="0079252F" w:rsidTr="0079252F">
        <w:tc>
          <w:tcPr>
            <w:tcW w:w="1526"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“Business”</w:t>
            </w:r>
          </w:p>
        </w:tc>
        <w:tc>
          <w:tcPr>
            <w:tcW w:w="8050"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means the business of the Company as set out in the Business Plan or such other business as an Investor Majority may approve in writing;</w:t>
            </w:r>
          </w:p>
        </w:tc>
      </w:tr>
      <w:tr w:rsidR="0079252F" w:rsidTr="0079252F">
        <w:tc>
          <w:tcPr>
            <w:tcW w:w="1526"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“Business Plan”</w:t>
            </w:r>
          </w:p>
        </w:tc>
        <w:tc>
          <w:tcPr>
            <w:tcW w:w="8050" w:type="dxa"/>
            <w:tcBorders>
              <w:top w:val="single" w:sz="4" w:space="0" w:color="auto"/>
              <w:left w:val="single" w:sz="4" w:space="0" w:color="auto"/>
              <w:bottom w:val="single" w:sz="4" w:space="0" w:color="auto"/>
              <w:right w:val="single" w:sz="4" w:space="0" w:color="auto"/>
            </w:tcBorders>
            <w:hideMark/>
          </w:tcPr>
          <w:p w:rsidR="0079252F" w:rsidRDefault="0079252F" w:rsidP="005F0900">
            <w:pPr>
              <w:jc w:val="both"/>
            </w:pPr>
            <w:r>
              <w:t>means the business plan specified in Part 3 of the Schedule</w:t>
            </w:r>
            <w:r w:rsidR="005F0900">
              <w:t xml:space="preserve"> (and as amended from time to time </w:t>
            </w:r>
            <w:r>
              <w:t>in accordance with Clause 9</w:t>
            </w:r>
            <w:r w:rsidR="005F0900">
              <w:t>)</w:t>
            </w:r>
            <w:r>
              <w:t>;</w:t>
            </w:r>
          </w:p>
        </w:tc>
      </w:tr>
      <w:tr w:rsidR="0079252F" w:rsidTr="0079252F">
        <w:tc>
          <w:tcPr>
            <w:tcW w:w="1526"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“Completion”</w:t>
            </w:r>
          </w:p>
        </w:tc>
        <w:tc>
          <w:tcPr>
            <w:tcW w:w="8050"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means the last date of execution of this Agreement when the Investment shall complete in accordance with Clause 3;</w:t>
            </w:r>
          </w:p>
        </w:tc>
      </w:tr>
      <w:tr w:rsidR="0079252F" w:rsidTr="0079252F">
        <w:tc>
          <w:tcPr>
            <w:tcW w:w="1526"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“Disclosure”</w:t>
            </w:r>
          </w:p>
        </w:tc>
        <w:tc>
          <w:tcPr>
            <w:tcW w:w="8050"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means any matter fairly disclosed to the Investors in the Disclosure Letter with sufficient explanation and detail to enable the Investors to identify the nature, scope and implications of the matters disclosed and “Disclosed” shall be construed accordingly;</w:t>
            </w:r>
          </w:p>
        </w:tc>
      </w:tr>
      <w:tr w:rsidR="0079252F" w:rsidTr="0079252F">
        <w:tc>
          <w:tcPr>
            <w:tcW w:w="1526"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“Disclosure Letter”</w:t>
            </w:r>
          </w:p>
        </w:tc>
        <w:tc>
          <w:tcPr>
            <w:tcW w:w="8050"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means a disclosure letter from the Company and the Warrantors and acknowledged in writing as having been received by the Investors on or prior to Completion;</w:t>
            </w:r>
          </w:p>
        </w:tc>
      </w:tr>
      <w:tr w:rsidR="0079252F" w:rsidTr="0079252F">
        <w:tc>
          <w:tcPr>
            <w:tcW w:w="1526"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“Financial Statements”</w:t>
            </w:r>
          </w:p>
        </w:tc>
        <w:tc>
          <w:tcPr>
            <w:tcW w:w="8050"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means the relevant accounts and/or other financial statements of the Company as detailed in Part 4 of this Schedule;</w:t>
            </w:r>
          </w:p>
        </w:tc>
      </w:tr>
      <w:tr w:rsidR="0079252F" w:rsidTr="0079252F">
        <w:tc>
          <w:tcPr>
            <w:tcW w:w="1526"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"Investment"</w:t>
            </w:r>
          </w:p>
        </w:tc>
        <w:tc>
          <w:tcPr>
            <w:tcW w:w="8050"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means the aggregate investment by the Investors as detailed in Section B of Part 2 of this Schedule;</w:t>
            </w:r>
          </w:p>
        </w:tc>
      </w:tr>
      <w:tr w:rsidR="0079252F" w:rsidTr="0079252F">
        <w:tc>
          <w:tcPr>
            <w:tcW w:w="1526"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“Investor Majority”</w:t>
            </w:r>
          </w:p>
        </w:tc>
        <w:tc>
          <w:tcPr>
            <w:tcW w:w="8050"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means the Investors holding for the time being more than [</w:t>
            </w:r>
            <w:r>
              <w:rPr>
                <w:highlight w:val="yellow"/>
              </w:rPr>
              <w:t>50 - TBC</w:t>
            </w:r>
            <w:r>
              <w:t>]% by nominal value of the shares in the Company for the time being held by the Investors;</w:t>
            </w:r>
          </w:p>
        </w:tc>
      </w:tr>
      <w:tr w:rsidR="0079252F" w:rsidTr="0079252F">
        <w:tc>
          <w:tcPr>
            <w:tcW w:w="1526" w:type="dxa"/>
            <w:gridSpan w:val="2"/>
            <w:tcBorders>
              <w:top w:val="single" w:sz="4" w:space="0" w:color="auto"/>
              <w:left w:val="single" w:sz="4" w:space="0" w:color="auto"/>
              <w:bottom w:val="single" w:sz="4" w:space="0" w:color="auto"/>
              <w:right w:val="single" w:sz="4" w:space="0" w:color="auto"/>
            </w:tcBorders>
            <w:hideMark/>
          </w:tcPr>
          <w:p w:rsidR="0079252F" w:rsidRPr="009F21ED" w:rsidRDefault="0079252F">
            <w:pPr>
              <w:jc w:val="both"/>
              <w:rPr>
                <w:color w:val="000000" w:themeColor="text1"/>
              </w:rPr>
            </w:pPr>
            <w:r w:rsidRPr="009F21ED">
              <w:rPr>
                <w:color w:val="000000" w:themeColor="text1"/>
              </w:rPr>
              <w:t>“New Articles”</w:t>
            </w:r>
          </w:p>
        </w:tc>
        <w:tc>
          <w:tcPr>
            <w:tcW w:w="8050" w:type="dxa"/>
            <w:tcBorders>
              <w:top w:val="single" w:sz="4" w:space="0" w:color="auto"/>
              <w:left w:val="single" w:sz="4" w:space="0" w:color="auto"/>
              <w:bottom w:val="single" w:sz="4" w:space="0" w:color="auto"/>
              <w:right w:val="single" w:sz="4" w:space="0" w:color="auto"/>
            </w:tcBorders>
            <w:hideMark/>
          </w:tcPr>
          <w:p w:rsidR="0079252F" w:rsidRPr="009F21ED" w:rsidRDefault="0079252F" w:rsidP="00E770A8">
            <w:pPr>
              <w:jc w:val="both"/>
              <w:rPr>
                <w:color w:val="000000" w:themeColor="text1"/>
              </w:rPr>
            </w:pPr>
            <w:r w:rsidRPr="009F21ED">
              <w:rPr>
                <w:color w:val="000000" w:themeColor="text1"/>
              </w:rPr>
              <w:t xml:space="preserve">means the new Articles of Association adopted by the Company on or </w:t>
            </w:r>
            <w:r w:rsidR="00E770A8" w:rsidRPr="009F21ED">
              <w:rPr>
                <w:color w:val="000000" w:themeColor="text1"/>
              </w:rPr>
              <w:t>before</w:t>
            </w:r>
            <w:r w:rsidRPr="009F21ED">
              <w:rPr>
                <w:color w:val="000000" w:themeColor="text1"/>
              </w:rPr>
              <w:t xml:space="preserve"> Completion in a form approved by the Investors;</w:t>
            </w:r>
          </w:p>
        </w:tc>
      </w:tr>
      <w:tr w:rsidR="0079252F" w:rsidTr="0079252F">
        <w:tc>
          <w:tcPr>
            <w:tcW w:w="1526"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“Warranties”</w:t>
            </w:r>
          </w:p>
        </w:tc>
        <w:tc>
          <w:tcPr>
            <w:tcW w:w="8050"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means the warranties set out in Condition 4 of the MBM terms and any other part of this Agreement;</w:t>
            </w:r>
          </w:p>
        </w:tc>
      </w:tr>
      <w:tr w:rsidR="0079252F" w:rsidTr="0079252F">
        <w:tc>
          <w:tcPr>
            <w:tcW w:w="1526" w:type="dxa"/>
            <w:gridSpan w:val="2"/>
            <w:tcBorders>
              <w:top w:val="single" w:sz="4" w:space="0" w:color="auto"/>
              <w:left w:val="single" w:sz="4" w:space="0" w:color="auto"/>
              <w:bottom w:val="single" w:sz="4" w:space="0" w:color="auto"/>
              <w:right w:val="single" w:sz="4" w:space="0" w:color="auto"/>
            </w:tcBorders>
            <w:hideMark/>
          </w:tcPr>
          <w:p w:rsidR="0079252F" w:rsidRDefault="0079252F">
            <w:pPr>
              <w:jc w:val="both"/>
            </w:pPr>
            <w:r>
              <w:t>“Warrantors”</w:t>
            </w:r>
          </w:p>
        </w:tc>
        <w:tc>
          <w:tcPr>
            <w:tcW w:w="8050" w:type="dxa"/>
            <w:tcBorders>
              <w:top w:val="single" w:sz="4" w:space="0" w:color="auto"/>
              <w:left w:val="single" w:sz="4" w:space="0" w:color="auto"/>
              <w:bottom w:val="single" w:sz="4" w:space="0" w:color="auto"/>
              <w:right w:val="single" w:sz="4" w:space="0" w:color="auto"/>
            </w:tcBorders>
            <w:hideMark/>
          </w:tcPr>
          <w:p w:rsidR="0079252F" w:rsidRDefault="0079252F" w:rsidP="00E770A8">
            <w:pPr>
              <w:jc w:val="both"/>
            </w:pPr>
            <w:r>
              <w:t>means the Company and the [</w:t>
            </w:r>
            <w:r w:rsidRPr="00E87156">
              <w:rPr>
                <w:highlight w:val="yellow"/>
              </w:rPr>
              <w:t>Executives</w:t>
            </w:r>
            <w:r w:rsidR="00E87156" w:rsidRPr="00E87156">
              <w:rPr>
                <w:highlight w:val="yellow"/>
              </w:rPr>
              <w:t xml:space="preserve"> – TBC – consider if other founders to also grant warranties</w:t>
            </w:r>
            <w:r>
              <w:t>]</w:t>
            </w:r>
            <w:r w:rsidR="00E770A8">
              <w:t>; and</w:t>
            </w:r>
          </w:p>
        </w:tc>
      </w:tr>
      <w:tr w:rsidR="0079252F" w:rsidTr="0079252F">
        <w:tc>
          <w:tcPr>
            <w:tcW w:w="1526" w:type="dxa"/>
            <w:gridSpan w:val="2"/>
            <w:tcBorders>
              <w:top w:val="single" w:sz="4" w:space="0" w:color="auto"/>
              <w:left w:val="single" w:sz="4" w:space="0" w:color="auto"/>
              <w:bottom w:val="single" w:sz="4" w:space="0" w:color="auto"/>
              <w:right w:val="single" w:sz="4" w:space="0" w:color="auto"/>
            </w:tcBorders>
          </w:tcPr>
          <w:p w:rsidR="0079252F" w:rsidRDefault="00E770A8">
            <w:pPr>
              <w:jc w:val="both"/>
            </w:pPr>
            <w:r>
              <w:t>“Written Resolutions”</w:t>
            </w:r>
          </w:p>
        </w:tc>
        <w:tc>
          <w:tcPr>
            <w:tcW w:w="8050" w:type="dxa"/>
            <w:tcBorders>
              <w:top w:val="single" w:sz="4" w:space="0" w:color="auto"/>
              <w:left w:val="single" w:sz="4" w:space="0" w:color="auto"/>
              <w:bottom w:val="single" w:sz="4" w:space="0" w:color="auto"/>
              <w:right w:val="single" w:sz="4" w:space="0" w:color="auto"/>
            </w:tcBorders>
          </w:tcPr>
          <w:p w:rsidR="0079252F" w:rsidRDefault="001C1C20" w:rsidP="001C1C20">
            <w:pPr>
              <w:jc w:val="both"/>
            </w:pPr>
            <w:r w:rsidRPr="00C608B7">
              <w:t xml:space="preserve">means the written resolutions to be passed by the requisite majority of shareholders of the Company on or before Completion </w:t>
            </w:r>
            <w:r>
              <w:t xml:space="preserve">to adopt the New Articles </w:t>
            </w:r>
            <w:r w:rsidR="005F0900">
              <w:t xml:space="preserve">and to </w:t>
            </w:r>
            <w:r>
              <w:t>give the Board authority to issue the relevant Shares to the Investors for the Investment.</w:t>
            </w:r>
          </w:p>
        </w:tc>
      </w:tr>
    </w:tbl>
    <w:p w:rsidR="0079252F" w:rsidRDefault="0079252F" w:rsidP="0079252F"/>
    <w:p w:rsidR="0079252F" w:rsidRDefault="0079252F" w:rsidP="0079252F">
      <w:r>
        <w:br w:type="page"/>
      </w:r>
    </w:p>
    <w:tbl>
      <w:tblPr>
        <w:tblStyle w:val="TableGrid"/>
        <w:tblW w:w="0" w:type="auto"/>
        <w:tblLayout w:type="fixed"/>
        <w:tblLook w:val="04A0" w:firstRow="1" w:lastRow="0" w:firstColumn="1" w:lastColumn="0" w:noHBand="0" w:noVBand="1"/>
      </w:tblPr>
      <w:tblGrid>
        <w:gridCol w:w="959"/>
        <w:gridCol w:w="8617"/>
      </w:tblGrid>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tc>
        <w:tc>
          <w:tcPr>
            <w:tcW w:w="8617" w:type="dxa"/>
            <w:tcBorders>
              <w:top w:val="single" w:sz="4" w:space="0" w:color="auto"/>
              <w:left w:val="single" w:sz="4" w:space="0" w:color="auto"/>
              <w:bottom w:val="single" w:sz="4" w:space="0" w:color="auto"/>
              <w:right w:val="single" w:sz="4" w:space="0" w:color="auto"/>
            </w:tcBorders>
          </w:tcPr>
          <w:p w:rsidR="0079252F" w:rsidRDefault="0079252F">
            <w:pPr>
              <w:rPr>
                <w:b/>
              </w:rPr>
            </w:pP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tc>
        <w:tc>
          <w:tcPr>
            <w:tcW w:w="8617" w:type="dxa"/>
            <w:tcBorders>
              <w:top w:val="single" w:sz="4" w:space="0" w:color="auto"/>
              <w:left w:val="single" w:sz="4" w:space="0" w:color="auto"/>
              <w:bottom w:val="single" w:sz="4" w:space="0" w:color="auto"/>
              <w:right w:val="single" w:sz="4" w:space="0" w:color="auto"/>
            </w:tcBorders>
            <w:hideMark/>
          </w:tcPr>
          <w:p w:rsidR="0079252F" w:rsidRDefault="0079252F">
            <w:pPr>
              <w:rPr>
                <w:b/>
              </w:rPr>
            </w:pPr>
            <w:r>
              <w:rPr>
                <w:b/>
              </w:rPr>
              <w:t xml:space="preserve">Part 2 of the Schedule </w:t>
            </w: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617" w:type="dxa"/>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617"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Section A – Share capital of Company immediately before Completion/Investment</w:t>
            </w: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617" w:type="dxa"/>
            <w:tcBorders>
              <w:top w:val="single" w:sz="4" w:space="0" w:color="auto"/>
              <w:left w:val="single" w:sz="4" w:space="0" w:color="auto"/>
              <w:bottom w:val="single" w:sz="4" w:space="0" w:color="auto"/>
              <w:right w:val="single" w:sz="4" w:space="0" w:color="auto"/>
            </w:tcBorders>
          </w:tcPr>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617" w:type="dxa"/>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617"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Section B – Details of Investment by Investors</w:t>
            </w: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617" w:type="dxa"/>
            <w:tcBorders>
              <w:top w:val="single" w:sz="4" w:space="0" w:color="auto"/>
              <w:left w:val="single" w:sz="4" w:space="0" w:color="auto"/>
              <w:bottom w:val="single" w:sz="4" w:space="0" w:color="auto"/>
              <w:right w:val="single" w:sz="4" w:space="0" w:color="auto"/>
            </w:tcBorders>
          </w:tcPr>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617" w:type="dxa"/>
            <w:tcBorders>
              <w:top w:val="single" w:sz="4" w:space="0" w:color="auto"/>
              <w:left w:val="single" w:sz="4" w:space="0" w:color="auto"/>
              <w:bottom w:val="single" w:sz="4" w:space="0" w:color="auto"/>
              <w:right w:val="single" w:sz="4" w:space="0" w:color="auto"/>
            </w:tcBorders>
          </w:tcPr>
          <w:p w:rsidR="0079252F" w:rsidRDefault="0079252F">
            <w:pPr>
              <w:jc w:val="both"/>
            </w:pP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617" w:type="dxa"/>
            <w:tcBorders>
              <w:top w:val="single" w:sz="4" w:space="0" w:color="auto"/>
              <w:left w:val="single" w:sz="4" w:space="0" w:color="auto"/>
              <w:bottom w:val="single" w:sz="4" w:space="0" w:color="auto"/>
              <w:right w:val="single" w:sz="4" w:space="0" w:color="auto"/>
            </w:tcBorders>
            <w:hideMark/>
          </w:tcPr>
          <w:p w:rsidR="0079252F" w:rsidRDefault="0079252F">
            <w:pPr>
              <w:jc w:val="both"/>
            </w:pPr>
            <w:r>
              <w:t>Section C – Share capital of Company immediately after Completion/Investment</w:t>
            </w: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617" w:type="dxa"/>
            <w:tcBorders>
              <w:top w:val="single" w:sz="4" w:space="0" w:color="auto"/>
              <w:left w:val="single" w:sz="4" w:space="0" w:color="auto"/>
              <w:bottom w:val="single" w:sz="4" w:space="0" w:color="auto"/>
              <w:right w:val="single" w:sz="4" w:space="0" w:color="auto"/>
            </w:tcBorders>
          </w:tcPr>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617" w:type="dxa"/>
            <w:tcBorders>
              <w:top w:val="single" w:sz="4" w:space="0" w:color="auto"/>
              <w:left w:val="single" w:sz="4" w:space="0" w:color="auto"/>
              <w:bottom w:val="single" w:sz="4" w:space="0" w:color="auto"/>
              <w:right w:val="single" w:sz="4" w:space="0" w:color="auto"/>
            </w:tcBorders>
          </w:tcPr>
          <w:p w:rsidR="0079252F" w:rsidRDefault="0079252F">
            <w:pPr>
              <w:jc w:val="both"/>
            </w:pPr>
          </w:p>
        </w:tc>
      </w:tr>
    </w:tbl>
    <w:p w:rsidR="0079252F" w:rsidRDefault="0079252F" w:rsidP="0079252F"/>
    <w:p w:rsidR="0079252F" w:rsidRDefault="0079252F" w:rsidP="0079252F">
      <w:r>
        <w:br w:type="page"/>
      </w:r>
    </w:p>
    <w:tbl>
      <w:tblPr>
        <w:tblStyle w:val="TableGrid"/>
        <w:tblW w:w="0" w:type="auto"/>
        <w:tblLayout w:type="fixed"/>
        <w:tblLook w:val="04A0" w:firstRow="1" w:lastRow="0" w:firstColumn="1" w:lastColumn="0" w:noHBand="0" w:noVBand="1"/>
      </w:tblPr>
      <w:tblGrid>
        <w:gridCol w:w="959"/>
        <w:gridCol w:w="8617"/>
      </w:tblGrid>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tc>
        <w:tc>
          <w:tcPr>
            <w:tcW w:w="8617" w:type="dxa"/>
            <w:tcBorders>
              <w:top w:val="single" w:sz="4" w:space="0" w:color="auto"/>
              <w:left w:val="single" w:sz="4" w:space="0" w:color="auto"/>
              <w:bottom w:val="single" w:sz="4" w:space="0" w:color="auto"/>
              <w:right w:val="single" w:sz="4" w:space="0" w:color="auto"/>
            </w:tcBorders>
          </w:tcPr>
          <w:p w:rsidR="0079252F" w:rsidRDefault="0079252F">
            <w:pPr>
              <w:rPr>
                <w:b/>
              </w:rPr>
            </w:pP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tc>
        <w:tc>
          <w:tcPr>
            <w:tcW w:w="8617" w:type="dxa"/>
            <w:tcBorders>
              <w:top w:val="single" w:sz="4" w:space="0" w:color="auto"/>
              <w:left w:val="single" w:sz="4" w:space="0" w:color="auto"/>
              <w:bottom w:val="single" w:sz="4" w:space="0" w:color="auto"/>
              <w:right w:val="single" w:sz="4" w:space="0" w:color="auto"/>
            </w:tcBorders>
            <w:hideMark/>
          </w:tcPr>
          <w:p w:rsidR="0079252F" w:rsidRDefault="0079252F">
            <w:pPr>
              <w:rPr>
                <w:b/>
              </w:rPr>
            </w:pPr>
            <w:r>
              <w:rPr>
                <w:b/>
              </w:rPr>
              <w:t xml:space="preserve">Part 3 of the Schedule – Business Plan of Company (attach here) </w:t>
            </w: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617" w:type="dxa"/>
            <w:tcBorders>
              <w:top w:val="single" w:sz="4" w:space="0" w:color="auto"/>
              <w:left w:val="single" w:sz="4" w:space="0" w:color="auto"/>
              <w:bottom w:val="single" w:sz="4" w:space="0" w:color="auto"/>
              <w:right w:val="single" w:sz="4" w:space="0" w:color="auto"/>
            </w:tcBorders>
          </w:tcPr>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tc>
      </w:tr>
    </w:tbl>
    <w:p w:rsidR="0079252F" w:rsidRDefault="0079252F" w:rsidP="0079252F"/>
    <w:tbl>
      <w:tblPr>
        <w:tblStyle w:val="TableGrid"/>
        <w:tblW w:w="0" w:type="auto"/>
        <w:tblLayout w:type="fixed"/>
        <w:tblLook w:val="04A0" w:firstRow="1" w:lastRow="0" w:firstColumn="1" w:lastColumn="0" w:noHBand="0" w:noVBand="1"/>
      </w:tblPr>
      <w:tblGrid>
        <w:gridCol w:w="959"/>
        <w:gridCol w:w="8617"/>
      </w:tblGrid>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tc>
        <w:tc>
          <w:tcPr>
            <w:tcW w:w="8617" w:type="dxa"/>
            <w:tcBorders>
              <w:top w:val="single" w:sz="4" w:space="0" w:color="auto"/>
              <w:left w:val="single" w:sz="4" w:space="0" w:color="auto"/>
              <w:bottom w:val="single" w:sz="4" w:space="0" w:color="auto"/>
              <w:right w:val="single" w:sz="4" w:space="0" w:color="auto"/>
            </w:tcBorders>
          </w:tcPr>
          <w:p w:rsidR="0079252F" w:rsidRDefault="0079252F">
            <w:pPr>
              <w:rPr>
                <w:b/>
              </w:rPr>
            </w:pP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tc>
        <w:tc>
          <w:tcPr>
            <w:tcW w:w="8617" w:type="dxa"/>
            <w:tcBorders>
              <w:top w:val="single" w:sz="4" w:space="0" w:color="auto"/>
              <w:left w:val="single" w:sz="4" w:space="0" w:color="auto"/>
              <w:bottom w:val="single" w:sz="4" w:space="0" w:color="auto"/>
              <w:right w:val="single" w:sz="4" w:space="0" w:color="auto"/>
            </w:tcBorders>
            <w:hideMark/>
          </w:tcPr>
          <w:p w:rsidR="0079252F" w:rsidRDefault="0079252F">
            <w:pPr>
              <w:rPr>
                <w:b/>
              </w:rPr>
            </w:pPr>
            <w:r>
              <w:rPr>
                <w:b/>
              </w:rPr>
              <w:t>Part 4 of the Schedule -  Financial Statements of Company to be warranted (attach here)</w:t>
            </w: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617" w:type="dxa"/>
            <w:tcBorders>
              <w:top w:val="single" w:sz="4" w:space="0" w:color="auto"/>
              <w:left w:val="single" w:sz="4" w:space="0" w:color="auto"/>
              <w:bottom w:val="single" w:sz="4" w:space="0" w:color="auto"/>
              <w:right w:val="single" w:sz="4" w:space="0" w:color="auto"/>
            </w:tcBorders>
          </w:tcPr>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tc>
      </w:tr>
    </w:tbl>
    <w:p w:rsidR="0079252F" w:rsidRDefault="0079252F" w:rsidP="0079252F"/>
    <w:p w:rsidR="0079252F" w:rsidRDefault="0079252F" w:rsidP="0079252F">
      <w:r>
        <w:br w:type="page"/>
      </w:r>
    </w:p>
    <w:tbl>
      <w:tblPr>
        <w:tblStyle w:val="TableGrid"/>
        <w:tblW w:w="0" w:type="auto"/>
        <w:tblLayout w:type="fixed"/>
        <w:tblLook w:val="04A0" w:firstRow="1" w:lastRow="0" w:firstColumn="1" w:lastColumn="0" w:noHBand="0" w:noVBand="1"/>
      </w:tblPr>
      <w:tblGrid>
        <w:gridCol w:w="959"/>
        <w:gridCol w:w="8617"/>
      </w:tblGrid>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tc>
        <w:tc>
          <w:tcPr>
            <w:tcW w:w="8617" w:type="dxa"/>
            <w:tcBorders>
              <w:top w:val="single" w:sz="4" w:space="0" w:color="auto"/>
              <w:left w:val="single" w:sz="4" w:space="0" w:color="auto"/>
              <w:bottom w:val="single" w:sz="4" w:space="0" w:color="auto"/>
              <w:right w:val="single" w:sz="4" w:space="0" w:color="auto"/>
            </w:tcBorders>
          </w:tcPr>
          <w:p w:rsidR="0079252F" w:rsidRDefault="0079252F">
            <w:pPr>
              <w:rPr>
                <w:b/>
              </w:rPr>
            </w:pP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tc>
        <w:tc>
          <w:tcPr>
            <w:tcW w:w="8617" w:type="dxa"/>
            <w:tcBorders>
              <w:top w:val="single" w:sz="4" w:space="0" w:color="auto"/>
              <w:left w:val="single" w:sz="4" w:space="0" w:color="auto"/>
              <w:bottom w:val="single" w:sz="4" w:space="0" w:color="auto"/>
              <w:right w:val="single" w:sz="4" w:space="0" w:color="auto"/>
            </w:tcBorders>
            <w:hideMark/>
          </w:tcPr>
          <w:p w:rsidR="0079252F" w:rsidRDefault="0079252F">
            <w:pPr>
              <w:rPr>
                <w:b/>
              </w:rPr>
            </w:pPr>
            <w:r>
              <w:rPr>
                <w:b/>
              </w:rPr>
              <w:t xml:space="preserve">Part 5 of the Schedule – MBM Standard Seed Investment Terms (attach here) </w:t>
            </w:r>
          </w:p>
        </w:tc>
      </w:tr>
      <w:tr w:rsidR="0079252F" w:rsidTr="0079252F">
        <w:tc>
          <w:tcPr>
            <w:tcW w:w="959" w:type="dxa"/>
            <w:tcBorders>
              <w:top w:val="single" w:sz="4" w:space="0" w:color="auto"/>
              <w:left w:val="single" w:sz="4" w:space="0" w:color="auto"/>
              <w:bottom w:val="single" w:sz="4" w:space="0" w:color="auto"/>
              <w:right w:val="single" w:sz="4" w:space="0" w:color="auto"/>
            </w:tcBorders>
          </w:tcPr>
          <w:p w:rsidR="0079252F" w:rsidRDefault="0079252F">
            <w:pPr>
              <w:jc w:val="both"/>
            </w:pPr>
          </w:p>
        </w:tc>
        <w:tc>
          <w:tcPr>
            <w:tcW w:w="8617" w:type="dxa"/>
            <w:tcBorders>
              <w:top w:val="single" w:sz="4" w:space="0" w:color="auto"/>
              <w:left w:val="single" w:sz="4" w:space="0" w:color="auto"/>
              <w:bottom w:val="single" w:sz="4" w:space="0" w:color="auto"/>
              <w:right w:val="single" w:sz="4" w:space="0" w:color="auto"/>
            </w:tcBorders>
          </w:tcPr>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p w:rsidR="0079252F" w:rsidRDefault="0079252F">
            <w:pPr>
              <w:jc w:val="both"/>
            </w:pPr>
          </w:p>
        </w:tc>
      </w:tr>
    </w:tbl>
    <w:p w:rsidR="0060670E" w:rsidRDefault="0060670E" w:rsidP="00E87156"/>
    <w:sectPr w:rsidR="0060670E" w:rsidSect="00A734A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99" w:rsidRDefault="00D95299" w:rsidP="00740018">
      <w:pPr>
        <w:spacing w:after="0" w:line="240" w:lineRule="auto"/>
      </w:pPr>
      <w:r>
        <w:separator/>
      </w:r>
    </w:p>
  </w:endnote>
  <w:endnote w:type="continuationSeparator" w:id="0">
    <w:p w:rsidR="00D95299" w:rsidRDefault="00D95299" w:rsidP="0074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4E" w:rsidRDefault="0064784E">
    <w:r>
      <w:rPr>
        <w:color w:val="7F7F7F" w:themeColor="background1" w:themeShade="7F"/>
        <w:spacing w:val="60"/>
      </w:rPr>
      <w:t>Page</w:t>
    </w:r>
    <w:r>
      <w:t xml:space="preserve"> | </w:t>
    </w:r>
    <w:r w:rsidR="00D95299">
      <w:fldChar w:fldCharType="begin"/>
    </w:r>
    <w:r w:rsidR="00D95299">
      <w:instrText xml:space="preserve"> PAGE   \* MERGEFORMAT </w:instrText>
    </w:r>
    <w:r w:rsidR="00D95299">
      <w:fldChar w:fldCharType="separate"/>
    </w:r>
    <w:r w:rsidR="008265B6" w:rsidRPr="008265B6">
      <w:rPr>
        <w:b/>
        <w:noProof/>
      </w:rPr>
      <w:t>1</w:t>
    </w:r>
    <w:r w:rsidR="00D95299">
      <w:rPr>
        <w:b/>
        <w:noProof/>
      </w:rPr>
      <w:fldChar w:fldCharType="end"/>
    </w:r>
    <w:r>
      <w:t xml:space="preserve"> MBM Commercial LLP Seed Inves</w:t>
    </w:r>
    <w:r w:rsidR="00330083">
      <w:t>tment Agreement © Copyright 2014</w:t>
    </w:r>
    <w:r>
      <w:t xml:space="preserv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99" w:rsidRDefault="00D95299" w:rsidP="00740018">
      <w:pPr>
        <w:spacing w:after="0" w:line="240" w:lineRule="auto"/>
      </w:pPr>
      <w:r>
        <w:separator/>
      </w:r>
    </w:p>
  </w:footnote>
  <w:footnote w:type="continuationSeparator" w:id="0">
    <w:p w:rsidR="00D95299" w:rsidRDefault="00D95299" w:rsidP="00740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79279"/>
      <w:docPartObj>
        <w:docPartGallery w:val="Watermarks"/>
        <w:docPartUnique/>
      </w:docPartObj>
    </w:sdtPr>
    <w:sdtEndPr/>
    <w:sdtContent>
      <w:p w:rsidR="0064784E" w:rsidRDefault="00D9529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F672B"/>
    <w:multiLevelType w:val="hybridMultilevel"/>
    <w:tmpl w:val="DA1CE15A"/>
    <w:lvl w:ilvl="0" w:tplc="5DC01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15FBB"/>
    <w:multiLevelType w:val="hybridMultilevel"/>
    <w:tmpl w:val="A6AED1E2"/>
    <w:lvl w:ilvl="0" w:tplc="2A0689D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90A18A1"/>
    <w:multiLevelType w:val="multilevel"/>
    <w:tmpl w:val="45B493F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6B4B6FFA"/>
    <w:multiLevelType w:val="hybridMultilevel"/>
    <w:tmpl w:val="79042DEC"/>
    <w:lvl w:ilvl="0" w:tplc="4EA47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cs="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2"/>
  </w:num>
  <w:num w:numId="2">
    <w:abstractNumId w:val="0"/>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18"/>
    <w:rsid w:val="00012FCC"/>
    <w:rsid w:val="00021ECE"/>
    <w:rsid w:val="000505AE"/>
    <w:rsid w:val="00055130"/>
    <w:rsid w:val="00062D2D"/>
    <w:rsid w:val="00065ECB"/>
    <w:rsid w:val="000774F3"/>
    <w:rsid w:val="000A3527"/>
    <w:rsid w:val="000F3029"/>
    <w:rsid w:val="00106420"/>
    <w:rsid w:val="00162B7E"/>
    <w:rsid w:val="0018190C"/>
    <w:rsid w:val="001966A9"/>
    <w:rsid w:val="001B2ACF"/>
    <w:rsid w:val="001B481C"/>
    <w:rsid w:val="001C1C20"/>
    <w:rsid w:val="001F2FFB"/>
    <w:rsid w:val="001F7293"/>
    <w:rsid w:val="002516C9"/>
    <w:rsid w:val="00257D43"/>
    <w:rsid w:val="00275BA1"/>
    <w:rsid w:val="002B1EFB"/>
    <w:rsid w:val="002C3A78"/>
    <w:rsid w:val="002E3C0A"/>
    <w:rsid w:val="002F2169"/>
    <w:rsid w:val="00310D21"/>
    <w:rsid w:val="00330083"/>
    <w:rsid w:val="00381CF6"/>
    <w:rsid w:val="003B1A42"/>
    <w:rsid w:val="003F535D"/>
    <w:rsid w:val="00403F05"/>
    <w:rsid w:val="00405EAF"/>
    <w:rsid w:val="00452244"/>
    <w:rsid w:val="00455077"/>
    <w:rsid w:val="00473B36"/>
    <w:rsid w:val="00486182"/>
    <w:rsid w:val="00494330"/>
    <w:rsid w:val="004A7B03"/>
    <w:rsid w:val="004D17DC"/>
    <w:rsid w:val="004E45E9"/>
    <w:rsid w:val="004F62A5"/>
    <w:rsid w:val="0052108D"/>
    <w:rsid w:val="00526D3A"/>
    <w:rsid w:val="0053201C"/>
    <w:rsid w:val="005561A3"/>
    <w:rsid w:val="0056425E"/>
    <w:rsid w:val="00570F47"/>
    <w:rsid w:val="00592BB0"/>
    <w:rsid w:val="005A3AE8"/>
    <w:rsid w:val="005B22B1"/>
    <w:rsid w:val="005C401D"/>
    <w:rsid w:val="005E194F"/>
    <w:rsid w:val="005E683E"/>
    <w:rsid w:val="005F0900"/>
    <w:rsid w:val="00604F37"/>
    <w:rsid w:val="00605398"/>
    <w:rsid w:val="0060670E"/>
    <w:rsid w:val="00645E21"/>
    <w:rsid w:val="0064784E"/>
    <w:rsid w:val="00673F60"/>
    <w:rsid w:val="00684F5D"/>
    <w:rsid w:val="006B566B"/>
    <w:rsid w:val="006C192A"/>
    <w:rsid w:val="007002C5"/>
    <w:rsid w:val="007023D8"/>
    <w:rsid w:val="00707C56"/>
    <w:rsid w:val="00712720"/>
    <w:rsid w:val="007149D2"/>
    <w:rsid w:val="00715043"/>
    <w:rsid w:val="007221CF"/>
    <w:rsid w:val="00740018"/>
    <w:rsid w:val="00747AB7"/>
    <w:rsid w:val="00780B08"/>
    <w:rsid w:val="0079252F"/>
    <w:rsid w:val="007A2DA7"/>
    <w:rsid w:val="007C39A2"/>
    <w:rsid w:val="007E1BF6"/>
    <w:rsid w:val="007F3286"/>
    <w:rsid w:val="007F584A"/>
    <w:rsid w:val="00813CA5"/>
    <w:rsid w:val="00817B8D"/>
    <w:rsid w:val="0082142E"/>
    <w:rsid w:val="008265B6"/>
    <w:rsid w:val="008868AF"/>
    <w:rsid w:val="00887BB4"/>
    <w:rsid w:val="008B2509"/>
    <w:rsid w:val="008F5754"/>
    <w:rsid w:val="00910B02"/>
    <w:rsid w:val="00952E16"/>
    <w:rsid w:val="00996F51"/>
    <w:rsid w:val="009C45FB"/>
    <w:rsid w:val="009F21ED"/>
    <w:rsid w:val="00A23483"/>
    <w:rsid w:val="00A47F4F"/>
    <w:rsid w:val="00A53C05"/>
    <w:rsid w:val="00A734A9"/>
    <w:rsid w:val="00A75CBB"/>
    <w:rsid w:val="00AA677E"/>
    <w:rsid w:val="00AD2912"/>
    <w:rsid w:val="00B26BD3"/>
    <w:rsid w:val="00B305E4"/>
    <w:rsid w:val="00B41137"/>
    <w:rsid w:val="00B537BB"/>
    <w:rsid w:val="00B77806"/>
    <w:rsid w:val="00B92EEB"/>
    <w:rsid w:val="00BC044E"/>
    <w:rsid w:val="00C04E3D"/>
    <w:rsid w:val="00C54207"/>
    <w:rsid w:val="00C74480"/>
    <w:rsid w:val="00C76170"/>
    <w:rsid w:val="00C8031E"/>
    <w:rsid w:val="00CC5D1A"/>
    <w:rsid w:val="00D35F0A"/>
    <w:rsid w:val="00D76FA0"/>
    <w:rsid w:val="00D77D6E"/>
    <w:rsid w:val="00D84211"/>
    <w:rsid w:val="00D95299"/>
    <w:rsid w:val="00DA1589"/>
    <w:rsid w:val="00DA64D3"/>
    <w:rsid w:val="00DD3B57"/>
    <w:rsid w:val="00E135AA"/>
    <w:rsid w:val="00E3172C"/>
    <w:rsid w:val="00E358BF"/>
    <w:rsid w:val="00E63C5D"/>
    <w:rsid w:val="00E65870"/>
    <w:rsid w:val="00E770A8"/>
    <w:rsid w:val="00E84CDC"/>
    <w:rsid w:val="00E87156"/>
    <w:rsid w:val="00EA5E94"/>
    <w:rsid w:val="00EB025E"/>
    <w:rsid w:val="00EE7876"/>
    <w:rsid w:val="00F06ACC"/>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54207"/>
    <w:pPr>
      <w:keepNext/>
      <w:numPr>
        <w:numId w:val="4"/>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semiHidden/>
    <w:unhideWhenUsed/>
    <w:qFormat/>
    <w:rsid w:val="00C54207"/>
    <w:pPr>
      <w:numPr>
        <w:ilvl w:val="1"/>
        <w:numId w:val="4"/>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semiHidden/>
    <w:unhideWhenUsed/>
    <w:qFormat/>
    <w:rsid w:val="00C54207"/>
    <w:pPr>
      <w:numPr>
        <w:ilvl w:val="2"/>
        <w:numId w:val="4"/>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semiHidden/>
    <w:unhideWhenUsed/>
    <w:qFormat/>
    <w:rsid w:val="00C54207"/>
    <w:pPr>
      <w:numPr>
        <w:ilvl w:val="3"/>
        <w:numId w:val="4"/>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semiHidden/>
    <w:unhideWhenUsed/>
    <w:qFormat/>
    <w:rsid w:val="00C54207"/>
    <w:pPr>
      <w:numPr>
        <w:ilvl w:val="4"/>
        <w:numId w:val="4"/>
      </w:numPr>
      <w:spacing w:after="120" w:line="300" w:lineRule="atLeast"/>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uiPriority w:val="9"/>
    <w:unhideWhenUsed/>
    <w:qFormat/>
    <w:rsid w:val="00C5420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0018"/>
    <w:pPr>
      <w:ind w:left="720"/>
      <w:contextualSpacing/>
    </w:pPr>
  </w:style>
  <w:style w:type="character" w:styleId="Hyperlink">
    <w:name w:val="Hyperlink"/>
    <w:basedOn w:val="DefaultParagraphFont"/>
    <w:uiPriority w:val="99"/>
    <w:unhideWhenUsed/>
    <w:rsid w:val="003B1A42"/>
    <w:rPr>
      <w:color w:val="0000FF" w:themeColor="hyperlink"/>
      <w:u w:val="single"/>
    </w:rPr>
  </w:style>
  <w:style w:type="paragraph" w:styleId="Header">
    <w:name w:val="header"/>
    <w:basedOn w:val="Normal"/>
    <w:link w:val="HeaderChar"/>
    <w:uiPriority w:val="99"/>
    <w:semiHidden/>
    <w:unhideWhenUsed/>
    <w:rsid w:val="00D35F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5F0A"/>
  </w:style>
  <w:style w:type="paragraph" w:styleId="Footer">
    <w:name w:val="footer"/>
    <w:basedOn w:val="Normal"/>
    <w:link w:val="FooterChar"/>
    <w:uiPriority w:val="99"/>
    <w:semiHidden/>
    <w:unhideWhenUsed/>
    <w:rsid w:val="00D35F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5F0A"/>
  </w:style>
  <w:style w:type="character" w:customStyle="1" w:styleId="UnderlineStyle">
    <w:name w:val="UnderlineStyle"/>
    <w:rsid w:val="00DA64D3"/>
    <w:rPr>
      <w:u w:val="single"/>
    </w:rPr>
  </w:style>
  <w:style w:type="character" w:customStyle="1" w:styleId="Heading1Char">
    <w:name w:val="Heading 1 Char"/>
    <w:basedOn w:val="DefaultParagraphFont"/>
    <w:link w:val="Heading1"/>
    <w:rsid w:val="00C54207"/>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C54207"/>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C54207"/>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C54207"/>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C54207"/>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C54207"/>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C54207"/>
    <w:rPr>
      <w:color w:val="800080" w:themeColor="followedHyperlink"/>
      <w:u w:val="single"/>
    </w:rPr>
  </w:style>
  <w:style w:type="paragraph" w:styleId="BalloonText">
    <w:name w:val="Balloon Text"/>
    <w:basedOn w:val="Normal"/>
    <w:link w:val="BalloonTextChar"/>
    <w:uiPriority w:val="99"/>
    <w:semiHidden/>
    <w:unhideWhenUsed/>
    <w:rsid w:val="00C5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07"/>
    <w:rPr>
      <w:rFonts w:ascii="Tahoma" w:hAnsi="Tahoma" w:cs="Tahoma"/>
      <w:sz w:val="16"/>
      <w:szCs w:val="16"/>
    </w:rPr>
  </w:style>
  <w:style w:type="character" w:customStyle="1" w:styleId="Defterm">
    <w:name w:val="Defterm"/>
    <w:basedOn w:val="DefaultParagraphFont"/>
    <w:rsid w:val="00C54207"/>
    <w:rPr>
      <w:b/>
      <w:bCs w:val="0"/>
      <w:color w:val="000000"/>
      <w:sz w:val="22"/>
    </w:rPr>
  </w:style>
  <w:style w:type="character" w:customStyle="1" w:styleId="BoldUnderlineStyle">
    <w:name w:val="BoldUnderlineStyle"/>
    <w:rsid w:val="00C54207"/>
    <w:rPr>
      <w:b/>
      <w:bCs w:val="0"/>
      <w:u w:val="single"/>
    </w:rPr>
  </w:style>
  <w:style w:type="paragraph" w:styleId="CommentText">
    <w:name w:val="annotation text"/>
    <w:basedOn w:val="Normal"/>
    <w:link w:val="CommentTextChar"/>
    <w:semiHidden/>
    <w:unhideWhenUsed/>
    <w:rsid w:val="0079252F"/>
    <w:pPr>
      <w:spacing w:after="0" w:line="240" w:lineRule="auto"/>
      <w:jc w:val="both"/>
    </w:pPr>
    <w:rPr>
      <w:rFonts w:ascii="Garamond" w:eastAsia="Times New Roman" w:hAnsi="Garamond" w:cs="Times New Roman"/>
      <w:sz w:val="20"/>
      <w:szCs w:val="20"/>
    </w:rPr>
  </w:style>
  <w:style w:type="character" w:customStyle="1" w:styleId="CommentTextChar">
    <w:name w:val="Comment Text Char"/>
    <w:basedOn w:val="DefaultParagraphFont"/>
    <w:link w:val="CommentText"/>
    <w:semiHidden/>
    <w:rsid w:val="0079252F"/>
    <w:rPr>
      <w:rFonts w:ascii="Garamond" w:eastAsia="Times New Roman" w:hAnsi="Garamond" w:cs="Times New Roman"/>
      <w:sz w:val="20"/>
      <w:szCs w:val="20"/>
    </w:rPr>
  </w:style>
  <w:style w:type="paragraph" w:styleId="BodyTextIndent">
    <w:name w:val="Body Text Indent"/>
    <w:basedOn w:val="Normal"/>
    <w:link w:val="BodyTextIndentChar"/>
    <w:semiHidden/>
    <w:unhideWhenUsed/>
    <w:rsid w:val="0079252F"/>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9252F"/>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7925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54207"/>
    <w:pPr>
      <w:keepNext/>
      <w:numPr>
        <w:numId w:val="4"/>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semiHidden/>
    <w:unhideWhenUsed/>
    <w:qFormat/>
    <w:rsid w:val="00C54207"/>
    <w:pPr>
      <w:numPr>
        <w:ilvl w:val="1"/>
        <w:numId w:val="4"/>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semiHidden/>
    <w:unhideWhenUsed/>
    <w:qFormat/>
    <w:rsid w:val="00C54207"/>
    <w:pPr>
      <w:numPr>
        <w:ilvl w:val="2"/>
        <w:numId w:val="4"/>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semiHidden/>
    <w:unhideWhenUsed/>
    <w:qFormat/>
    <w:rsid w:val="00C54207"/>
    <w:pPr>
      <w:numPr>
        <w:ilvl w:val="3"/>
        <w:numId w:val="4"/>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semiHidden/>
    <w:unhideWhenUsed/>
    <w:qFormat/>
    <w:rsid w:val="00C54207"/>
    <w:pPr>
      <w:numPr>
        <w:ilvl w:val="4"/>
        <w:numId w:val="4"/>
      </w:numPr>
      <w:spacing w:after="120" w:line="300" w:lineRule="atLeast"/>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uiPriority w:val="9"/>
    <w:unhideWhenUsed/>
    <w:qFormat/>
    <w:rsid w:val="00C5420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0018"/>
    <w:pPr>
      <w:ind w:left="720"/>
      <w:contextualSpacing/>
    </w:pPr>
  </w:style>
  <w:style w:type="character" w:styleId="Hyperlink">
    <w:name w:val="Hyperlink"/>
    <w:basedOn w:val="DefaultParagraphFont"/>
    <w:uiPriority w:val="99"/>
    <w:unhideWhenUsed/>
    <w:rsid w:val="003B1A42"/>
    <w:rPr>
      <w:color w:val="0000FF" w:themeColor="hyperlink"/>
      <w:u w:val="single"/>
    </w:rPr>
  </w:style>
  <w:style w:type="paragraph" w:styleId="Header">
    <w:name w:val="header"/>
    <w:basedOn w:val="Normal"/>
    <w:link w:val="HeaderChar"/>
    <w:uiPriority w:val="99"/>
    <w:semiHidden/>
    <w:unhideWhenUsed/>
    <w:rsid w:val="00D35F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5F0A"/>
  </w:style>
  <w:style w:type="paragraph" w:styleId="Footer">
    <w:name w:val="footer"/>
    <w:basedOn w:val="Normal"/>
    <w:link w:val="FooterChar"/>
    <w:uiPriority w:val="99"/>
    <w:semiHidden/>
    <w:unhideWhenUsed/>
    <w:rsid w:val="00D35F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5F0A"/>
  </w:style>
  <w:style w:type="character" w:customStyle="1" w:styleId="UnderlineStyle">
    <w:name w:val="UnderlineStyle"/>
    <w:rsid w:val="00DA64D3"/>
    <w:rPr>
      <w:u w:val="single"/>
    </w:rPr>
  </w:style>
  <w:style w:type="character" w:customStyle="1" w:styleId="Heading1Char">
    <w:name w:val="Heading 1 Char"/>
    <w:basedOn w:val="DefaultParagraphFont"/>
    <w:link w:val="Heading1"/>
    <w:rsid w:val="00C54207"/>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C54207"/>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C54207"/>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C54207"/>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C54207"/>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C54207"/>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C54207"/>
    <w:rPr>
      <w:color w:val="800080" w:themeColor="followedHyperlink"/>
      <w:u w:val="single"/>
    </w:rPr>
  </w:style>
  <w:style w:type="paragraph" w:styleId="BalloonText">
    <w:name w:val="Balloon Text"/>
    <w:basedOn w:val="Normal"/>
    <w:link w:val="BalloonTextChar"/>
    <w:uiPriority w:val="99"/>
    <w:semiHidden/>
    <w:unhideWhenUsed/>
    <w:rsid w:val="00C5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07"/>
    <w:rPr>
      <w:rFonts w:ascii="Tahoma" w:hAnsi="Tahoma" w:cs="Tahoma"/>
      <w:sz w:val="16"/>
      <w:szCs w:val="16"/>
    </w:rPr>
  </w:style>
  <w:style w:type="character" w:customStyle="1" w:styleId="Defterm">
    <w:name w:val="Defterm"/>
    <w:basedOn w:val="DefaultParagraphFont"/>
    <w:rsid w:val="00C54207"/>
    <w:rPr>
      <w:b/>
      <w:bCs w:val="0"/>
      <w:color w:val="000000"/>
      <w:sz w:val="22"/>
    </w:rPr>
  </w:style>
  <w:style w:type="character" w:customStyle="1" w:styleId="BoldUnderlineStyle">
    <w:name w:val="BoldUnderlineStyle"/>
    <w:rsid w:val="00C54207"/>
    <w:rPr>
      <w:b/>
      <w:bCs w:val="0"/>
      <w:u w:val="single"/>
    </w:rPr>
  </w:style>
  <w:style w:type="paragraph" w:styleId="CommentText">
    <w:name w:val="annotation text"/>
    <w:basedOn w:val="Normal"/>
    <w:link w:val="CommentTextChar"/>
    <w:semiHidden/>
    <w:unhideWhenUsed/>
    <w:rsid w:val="0079252F"/>
    <w:pPr>
      <w:spacing w:after="0" w:line="240" w:lineRule="auto"/>
      <w:jc w:val="both"/>
    </w:pPr>
    <w:rPr>
      <w:rFonts w:ascii="Garamond" w:eastAsia="Times New Roman" w:hAnsi="Garamond" w:cs="Times New Roman"/>
      <w:sz w:val="20"/>
      <w:szCs w:val="20"/>
    </w:rPr>
  </w:style>
  <w:style w:type="character" w:customStyle="1" w:styleId="CommentTextChar">
    <w:name w:val="Comment Text Char"/>
    <w:basedOn w:val="DefaultParagraphFont"/>
    <w:link w:val="CommentText"/>
    <w:semiHidden/>
    <w:rsid w:val="0079252F"/>
    <w:rPr>
      <w:rFonts w:ascii="Garamond" w:eastAsia="Times New Roman" w:hAnsi="Garamond" w:cs="Times New Roman"/>
      <w:sz w:val="20"/>
      <w:szCs w:val="20"/>
    </w:rPr>
  </w:style>
  <w:style w:type="paragraph" w:styleId="BodyTextIndent">
    <w:name w:val="Body Text Indent"/>
    <w:basedOn w:val="Normal"/>
    <w:link w:val="BodyTextIndentChar"/>
    <w:semiHidden/>
    <w:unhideWhenUsed/>
    <w:rsid w:val="0079252F"/>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9252F"/>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7925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19119">
      <w:bodyDiv w:val="1"/>
      <w:marLeft w:val="0"/>
      <w:marRight w:val="0"/>
      <w:marTop w:val="0"/>
      <w:marBottom w:val="0"/>
      <w:divBdr>
        <w:top w:val="none" w:sz="0" w:space="0" w:color="auto"/>
        <w:left w:val="none" w:sz="0" w:space="0" w:color="auto"/>
        <w:bottom w:val="none" w:sz="0" w:space="0" w:color="auto"/>
        <w:right w:val="none" w:sz="0" w:space="0" w:color="auto"/>
      </w:divBdr>
    </w:div>
    <w:div w:id="1761639979">
      <w:bodyDiv w:val="1"/>
      <w:marLeft w:val="0"/>
      <w:marRight w:val="0"/>
      <w:marTop w:val="0"/>
      <w:marBottom w:val="0"/>
      <w:divBdr>
        <w:top w:val="none" w:sz="0" w:space="0" w:color="auto"/>
        <w:left w:val="none" w:sz="0" w:space="0" w:color="auto"/>
        <w:bottom w:val="none" w:sz="0" w:space="0" w:color="auto"/>
        <w:right w:val="none" w:sz="0" w:space="0" w:color="auto"/>
      </w:divBdr>
    </w:div>
    <w:div w:id="20462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bmcommercial.co.uk/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MBM Commercial LLP</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Gill MacAulay</cp:lastModifiedBy>
  <cp:revision>2</cp:revision>
  <cp:lastPrinted>2013-05-13T07:28:00Z</cp:lastPrinted>
  <dcterms:created xsi:type="dcterms:W3CDTF">2014-05-21T14:39:00Z</dcterms:created>
  <dcterms:modified xsi:type="dcterms:W3CDTF">2014-05-21T14:39:00Z</dcterms:modified>
</cp:coreProperties>
</file>